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67"/>
        <w:ind w:firstLine="0"/>
      </w:pPr>
      <w:r>
        <w:t xml:space="preserve">XXXV. Паспорт комплекса процессных мероприятий «Обеспечение деятельности исполнительных органов Белгородской области» (далее - комплекс процессных мероприятий 11)</w:t>
      </w:r>
      <w:r/>
    </w:p>
    <w:p>
      <w:r/>
      <w:r/>
    </w:p>
    <w:p>
      <w:pPr>
        <w:pStyle w:val="667"/>
        <w:ind w:firstLine="0"/>
        <w:spacing w:before="0" w:after="0"/>
        <w:rPr>
          <w:rFonts w:ascii="TimesNewRoman" w:hAnsi="TimesNewRoman" w:eastAsia="TimesNewRoman" w:cs="TimesNewRoman"/>
        </w:rPr>
      </w:pPr>
      <w:r>
        <w:rPr>
          <w:rFonts w:ascii="TimesNewRoman" w:hAnsi="TimesNewRoman" w:eastAsia="TimesNewRoman" w:cs="TimesNewRoman"/>
        </w:rPr>
        <w:t xml:space="preserve">1. Общие положения</w:t>
      </w:r>
      <w:r>
        <w:rPr>
          <w:rFonts w:ascii="TimesNewRoman" w:hAnsi="TimesNewRoman" w:eastAsia="TimesNewRoman" w:cs="TimesNewRoman"/>
        </w:rPr>
      </w:r>
      <w:r>
        <w:rPr>
          <w:rFonts w:ascii="TimesNewRoman" w:hAnsi="TimesNewRoman" w:eastAsia="TimesNewRoman" w:cs="TimesNewRoman"/>
        </w:rPr>
      </w:r>
    </w:p>
    <w:p>
      <w:pPr>
        <w:rPr>
          <w:rFonts w:ascii="TimesNewRoman" w:hAnsi="TimesNewRoman" w:eastAsia="TimesNewRoman" w:cs="TimesNewRoman"/>
        </w:rPr>
      </w:pPr>
      <w:r>
        <w:rPr>
          <w:rFonts w:ascii="TimesNewRoman" w:hAnsi="TimesNewRoman" w:eastAsia="TimesNewRoman" w:cs="TimesNewRoman"/>
        </w:rPr>
      </w:r>
      <w:r>
        <w:rPr>
          <w:rFonts w:ascii="TimesNewRoman" w:hAnsi="TimesNewRoman" w:eastAsia="TimesNewRoman" w:cs="TimesNewRoman"/>
        </w:rPr>
      </w:r>
      <w:r>
        <w:rPr>
          <w:rFonts w:ascii="TimesNewRoman" w:hAnsi="TimesNewRoman" w:eastAsia="TimesNewRoman" w:cs="TimesNewRoman"/>
        </w:rPr>
      </w:r>
    </w:p>
    <w:tbl>
      <w:tblPr>
        <w:tblW w:w="15451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7556"/>
        <w:gridCol w:w="7895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556" w:type="dxa"/>
            <w:textDirection w:val="lrTb"/>
            <w:noWrap w:val="false"/>
          </w:tcPr>
          <w:p>
            <w:pPr>
              <w:pStyle w:val="852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Ответственный исполнительный орган Белгородской области (иной государственный орган, организация)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95" w:type="dxa"/>
            <w:textDirection w:val="lrTb"/>
            <w:noWrap w:val="false"/>
          </w:tcPr>
          <w:p>
            <w:pPr>
              <w:pStyle w:val="852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Министерство здравоохранения Белгородской области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  <w:p>
            <w:pPr>
              <w:pStyle w:val="852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(Голоперов Александр Иванович, начальник департамента бюджетных отношений и закупок министерства здравоохран</w:t>
            </w:r>
            <w:r>
              <w:rPr>
                <w:rFonts w:ascii="TimesNewRoman" w:hAnsi="TimesNewRoman" w:eastAsia="TimesNewRoman" w:cs="TimesNewRoman"/>
              </w:rPr>
              <w:t xml:space="preserve">ения Белгородской области)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556" w:type="dxa"/>
            <w:textDirection w:val="lrTb"/>
            <w:noWrap w:val="false"/>
          </w:tcPr>
          <w:p>
            <w:pPr>
              <w:pStyle w:val="852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Связь с государственной программой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95" w:type="dxa"/>
            <w:textDirection w:val="lrTb"/>
            <w:noWrap w:val="false"/>
          </w:tcPr>
          <w:p>
            <w:pPr>
              <w:pStyle w:val="852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Государственная программа Белгородской области «Развитие здравоохранения Белгородской области»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</w:tr>
    </w:tbl>
    <w:p>
      <w:pPr>
        <w:rPr>
          <w:rFonts w:ascii="TimesNewRoman" w:hAnsi="TimesNewRoman" w:eastAsia="TimesNewRoman" w:cs="TimesNewRoman"/>
        </w:rPr>
      </w:pPr>
      <w:r>
        <w:rPr>
          <w:rFonts w:ascii="TimesNewRoman" w:hAnsi="TimesNewRoman" w:eastAsia="TimesNewRoman" w:cs="TimesNewRoman"/>
        </w:rPr>
      </w:r>
      <w:r>
        <w:rPr>
          <w:rFonts w:ascii="TimesNewRoman" w:hAnsi="TimesNewRoman" w:eastAsia="TimesNewRoman" w:cs="TimesNewRoman"/>
        </w:rPr>
      </w:r>
      <w:r>
        <w:rPr>
          <w:rFonts w:ascii="TimesNewRoman" w:hAnsi="TimesNewRoman" w:eastAsia="TimesNewRoman" w:cs="TimesNewRoman"/>
        </w:rPr>
      </w:r>
    </w:p>
    <w:p>
      <w:pPr>
        <w:pStyle w:val="667"/>
        <w:ind w:firstLine="0"/>
        <w:spacing w:before="0" w:after="0"/>
        <w:rPr>
          <w:rFonts w:ascii="TimesNewRoman" w:hAnsi="TimesNewRoman" w:eastAsia="TimesNewRoman" w:cs="TimesNewRoman"/>
        </w:rPr>
      </w:pPr>
      <w:r>
        <w:rPr>
          <w:rFonts w:ascii="TimesNewRoman" w:hAnsi="TimesNewRoman" w:eastAsia="TimesNewRoman" w:cs="TimesNewRoman"/>
        </w:rPr>
        <w:t xml:space="preserve">2. Перечень мероприятий (результатов) комплекса процессных мероприятий 11</w:t>
      </w:r>
      <w:r>
        <w:rPr>
          <w:rFonts w:ascii="TimesNewRoman" w:hAnsi="TimesNewRoman" w:eastAsia="TimesNewRoman" w:cs="TimesNewRoman"/>
        </w:rPr>
      </w:r>
      <w:r>
        <w:rPr>
          <w:rFonts w:ascii="TimesNewRoman" w:hAnsi="TimesNewRoman" w:eastAsia="TimesNewRoman" w:cs="TimesNewRoman"/>
        </w:rPr>
      </w:r>
    </w:p>
    <w:p>
      <w:pPr>
        <w:rPr>
          <w:rFonts w:ascii="TimesNewRoman" w:hAnsi="TimesNewRoman" w:eastAsia="TimesNewRoman" w:cs="TimesNewRoman"/>
        </w:rPr>
      </w:pPr>
      <w:r>
        <w:rPr>
          <w:rFonts w:ascii="TimesNewRoman" w:hAnsi="TimesNewRoman" w:eastAsia="TimesNewRoman" w:cs="TimesNewRoman"/>
        </w:rPr>
      </w:r>
      <w:r>
        <w:rPr>
          <w:rFonts w:ascii="TimesNewRoman" w:hAnsi="TimesNewRoman" w:eastAsia="TimesNewRoman" w:cs="TimesNewRoman"/>
        </w:rPr>
      </w:r>
      <w:r>
        <w:rPr>
          <w:rFonts w:ascii="TimesNewRoman" w:hAnsi="TimesNewRoman" w:eastAsia="TimesNewRoman" w:cs="TimesNewRoman"/>
        </w:rPr>
      </w:r>
    </w:p>
    <w:tbl>
      <w:tblPr>
        <w:tblW w:w="15451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709"/>
        <w:gridCol w:w="3827"/>
        <w:gridCol w:w="1560"/>
        <w:gridCol w:w="1275"/>
        <w:gridCol w:w="851"/>
        <w:gridCol w:w="709"/>
        <w:gridCol w:w="708"/>
        <w:gridCol w:w="851"/>
        <w:gridCol w:w="709"/>
        <w:gridCol w:w="708"/>
        <w:gridCol w:w="567"/>
        <w:gridCol w:w="709"/>
        <w:gridCol w:w="567"/>
        <w:gridCol w:w="1701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N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п/п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7" w:type="dxa"/>
            <w:vMerge w:val="restart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Наименование ме</w:t>
            </w:r>
            <w:r>
              <w:rPr>
                <w:rFonts w:ascii="TimesNewRoman" w:hAnsi="TimesNewRoman" w:eastAsia="TimesNewRoman" w:cs="TimesNewRoman"/>
              </w:rPr>
              <w:t xml:space="preserve">роприятия (результата)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Merge w:val="restart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Тип мероприятия (результата)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Merge w:val="restart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Единица измерения (по </w:t>
            </w:r>
            <w:hyperlink r:id="rId10" w:tooltip="http://garant.belregion.ru/document/redirect/179222/0" w:history="1">
              <w:r>
                <w:rPr>
                  <w:rFonts w:ascii="TimesNewRoman" w:hAnsi="TimesNewRoman" w:eastAsia="TimesNewRoman" w:cs="TimesNewRoman"/>
                  <w:color w:val="106bbe"/>
                </w:rPr>
                <w:t xml:space="preserve">ОКЕИ</w:t>
              </w:r>
            </w:hyperlink>
            <w:r>
              <w:rPr>
                <w:rFonts w:ascii="TimesNewRoman" w:hAnsi="TimesNewRoman" w:eastAsia="TimesNewRoman" w:cs="TimesNewRoman"/>
              </w:rPr>
              <w:t xml:space="preserve">)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Базовое значение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Значения мероприятия (результата), параметра характеристики мероприятия (результата) по годам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Связь с показателями комплекса процессных мероприятий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pPr>
              <w:pStyle w:val="851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7" w:type="dxa"/>
            <w:vMerge w:val="continue"/>
            <w:textDirection w:val="lrTb"/>
            <w:noWrap w:val="false"/>
          </w:tcPr>
          <w:p>
            <w:pPr>
              <w:pStyle w:val="851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Merge w:val="continue"/>
            <w:textDirection w:val="lrTb"/>
            <w:noWrap w:val="false"/>
          </w:tcPr>
          <w:p>
            <w:pPr>
              <w:pStyle w:val="851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Merge w:val="continue"/>
            <w:textDirection w:val="lrTb"/>
            <w:noWrap w:val="false"/>
          </w:tcPr>
          <w:p>
            <w:pPr>
              <w:pStyle w:val="851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значение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год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2024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2025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2026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2027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2028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2029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2030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pStyle w:val="851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1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7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2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3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4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5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6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7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8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9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10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11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12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13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14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/>
            <w:bookmarkStart w:id="0" w:name="sub_101421"/>
            <w:r>
              <w:rPr>
                <w:rFonts w:ascii="TimesNewRoman" w:hAnsi="TimesNewRoman" w:eastAsia="TimesNewRoman" w:cs="TimesNewRoman"/>
              </w:rPr>
              <w:t xml:space="preserve">1.</w:t>
            </w:r>
            <w:bookmarkEnd w:id="0"/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742" w:type="dxa"/>
            <w:textDirection w:val="lrTb"/>
            <w:noWrap w:val="false"/>
          </w:tcPr>
          <w:p>
            <w:pPr>
              <w:pStyle w:val="852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Задача «Осуществление административно-хозяйственного, материально-технического обеспечения деятельности министерства здравоохранения Белгородской области»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/>
            <w:bookmarkStart w:id="1" w:name="sub_1014211"/>
            <w:r>
              <w:rPr>
                <w:rFonts w:ascii="TimesNewRoman" w:hAnsi="TimesNewRoman" w:eastAsia="TimesNewRoman" w:cs="TimesNewRoman"/>
              </w:rPr>
              <w:t xml:space="preserve">1.1.</w:t>
            </w:r>
            <w:bookmarkEnd w:id="1"/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7" w:type="dxa"/>
            <w:textDirection w:val="lrTb"/>
            <w:noWrap w:val="false"/>
          </w:tcPr>
          <w:p>
            <w:pPr>
              <w:pStyle w:val="852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Мероприятие (результат) «Обеспечена деятельность министерства здравоохранения Белгородской обла</w:t>
            </w:r>
            <w:r>
              <w:rPr>
                <w:rFonts w:ascii="TimesNewRoman" w:hAnsi="TimesNewRoman" w:eastAsia="TimesNewRoman" w:cs="TimesNewRoman"/>
              </w:rPr>
              <w:t xml:space="preserve">сти»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Осуществление текущей деятельности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Человек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79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2022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79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76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76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76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76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76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76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51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1.1. Х.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742" w:type="dxa"/>
            <w:textDirection w:val="lrTb"/>
            <w:noWrap w:val="false"/>
          </w:tcPr>
          <w:p>
            <w:pPr>
              <w:pStyle w:val="852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Осуществление материального обеспечения деятельности министерства здравоохранения Белгородской области, включая фонд оплаты труда, эксплуатацию и текущий ремонт административного здания, оплату коммунальных услуг и иных хозяйственных расходов, арендных пла</w:t>
            </w:r>
            <w:r>
              <w:rPr>
                <w:rFonts w:ascii="TimesNewRoman" w:hAnsi="TimesNewRoman" w:eastAsia="TimesNewRoman" w:cs="TimesNewRoman"/>
              </w:rPr>
              <w:t xml:space="preserve">тежей, осуществление закупок канцелярских принадлежностей, офисной мебели и иных закупок, а также уплату налогов, прочих сборов, исполнение судебных актов Российской Федерации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1.2.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7" w:type="dxa"/>
            <w:textDirection w:val="lrTb"/>
            <w:noWrap w:val="false"/>
          </w:tcPr>
          <w:p>
            <w:pPr>
              <w:pStyle w:val="852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Мероприятие (результат) «Осуществлены переданные органам государственной власти субъектов Российской Федерации в соответствии с </w:t>
            </w:r>
            <w:hyperlink r:id="rId11" w:tooltip="http://garant.belregion.ru/document/redirect/12191967/151" w:history="1">
              <w:r>
                <w:rPr>
                  <w:rFonts w:ascii="TimesNewRoman" w:hAnsi="TimesNewRoman" w:eastAsia="TimesNewRoman" w:cs="TimesNewRoman"/>
                  <w:color w:val="106bbe"/>
                </w:rPr>
                <w:t xml:space="preserve">частью 1 статьи </w:t>
              </w:r>
              <w:r>
                <w:rPr>
                  <w:rFonts w:ascii="TimesNewRoman" w:hAnsi="TimesNewRoman" w:eastAsia="TimesNewRoman" w:cs="TimesNewRoman"/>
                  <w:color w:val="106bbe"/>
                </w:rPr>
                <w:t xml:space="preserve">15</w:t>
              </w:r>
            </w:hyperlink>
            <w:r>
              <w:rPr>
                <w:rFonts w:ascii="TimesNewRoman" w:hAnsi="TimesNewRoman" w:eastAsia="TimesNewRoman" w:cs="TimesNewRoman"/>
              </w:rPr>
              <w:t xml:space="preserve"> Федерального закона от 21 ноября</w:t>
            </w:r>
            <w:r>
              <w:rPr>
                <w:rFonts w:ascii="TimesNewRoman" w:hAnsi="TimesNewRoman" w:eastAsia="TimesNewRoman" w:cs="TimesNewRoman"/>
              </w:rPr>
              <w:t xml:space="preserve"> 2011 года N 323-ФЗ «Об основах охраны здоровья граждан в Российской Федерации» полномочия Российской Федерации в сфере охраны здоровья»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Осуществление текущей деятельности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Единица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24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2022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24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24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24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24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24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-</w:t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-</w:t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51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1.2. Х.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742" w:type="dxa"/>
            <w:textDirection w:val="lrTb"/>
            <w:noWrap w:val="false"/>
          </w:tcPr>
          <w:p>
            <w:pPr>
              <w:pStyle w:val="852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Осуществляется ежемесячно выплата заработной платы сотрудникам министерства здравоохранения Белгородской области в связи с переданными в соответствии с </w:t>
            </w:r>
            <w:hyperlink r:id="rId12" w:tooltip="http://garant.belregion.ru/document/redirect/12191967/151" w:history="1">
              <w:r>
                <w:rPr>
                  <w:rFonts w:ascii="TimesNewRoman" w:hAnsi="TimesNewRoman" w:eastAsia="TimesNewRoman" w:cs="TimesNewRoman"/>
                  <w:color w:val="106bbe"/>
                </w:rPr>
                <w:t xml:space="preserve">частью 1 статьи 15</w:t>
              </w:r>
            </w:hyperlink>
            <w:r>
              <w:rPr>
                <w:rFonts w:ascii="TimesNewRoman" w:hAnsi="TimesNewRoman" w:eastAsia="TimesNewRoman" w:cs="TimesNewRoman"/>
              </w:rPr>
              <w:t xml:space="preserve"> Федераль</w:t>
            </w:r>
            <w:r>
              <w:rPr>
                <w:rFonts w:ascii="TimesNewRoman" w:hAnsi="TimesNewRoman" w:eastAsia="TimesNewRoman" w:cs="TimesNewRoman"/>
              </w:rPr>
              <w:t xml:space="preserve">ного закона от 21 ноября 2011 года N 323-ФЗ «Об основах охраны здоровья граждан в Российской Федерации» полномочиями Российской Федерации в сфере охраны здоровья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/>
            <w:bookmarkStart w:id="2" w:name="sub_1014213"/>
            <w:r>
              <w:rPr>
                <w:rFonts w:ascii="TimesNewRoman" w:hAnsi="TimesNewRoman" w:eastAsia="TimesNewRoman" w:cs="TimesNewRoman"/>
              </w:rPr>
              <w:t xml:space="preserve">1.3</w:t>
            </w:r>
            <w:bookmarkEnd w:id="2"/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7" w:type="dxa"/>
            <w:textDirection w:val="lrTb"/>
            <w:noWrap w:val="false"/>
          </w:tcPr>
          <w:p>
            <w:pPr>
              <w:pStyle w:val="852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Мероприятие (результат) «Обеспечено выполнение финансирования иных обязательств»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Осуществление текущей деятельности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Единица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1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2022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1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1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1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1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1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1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1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51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1.3. Х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742" w:type="dxa"/>
            <w:textDirection w:val="lrTb"/>
            <w:noWrap w:val="false"/>
          </w:tcPr>
          <w:p>
            <w:pPr>
              <w:pStyle w:val="852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Диспансеризация государственных гражданских и муниципальных служащих Белгородской области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</w:tr>
    </w:tbl>
    <w:p>
      <w:pPr>
        <w:rPr>
          <w:rFonts w:ascii="TimesNewRoman" w:hAnsi="TimesNewRoman" w:eastAsia="TimesNewRoman" w:cs="TimesNewRoman"/>
        </w:rPr>
      </w:pPr>
      <w:r>
        <w:rPr>
          <w:rFonts w:ascii="TimesNewRoman" w:hAnsi="TimesNewRoman" w:eastAsia="TimesNewRoman" w:cs="TimesNewRoman"/>
        </w:rPr>
      </w:r>
      <w:r>
        <w:rPr>
          <w:rFonts w:ascii="TimesNewRoman" w:hAnsi="TimesNewRoman" w:eastAsia="TimesNewRoman" w:cs="TimesNewRoman"/>
        </w:rPr>
      </w:r>
      <w:r>
        <w:rPr>
          <w:rFonts w:ascii="TimesNewRoman" w:hAnsi="TimesNewRoman" w:eastAsia="TimesNewRoman" w:cs="TimesNewRoman"/>
        </w:rPr>
      </w:r>
    </w:p>
    <w:p>
      <w:pPr>
        <w:pStyle w:val="667"/>
        <w:ind w:firstLine="0"/>
        <w:spacing w:before="0" w:after="0"/>
        <w:rPr>
          <w:rFonts w:ascii="TimesNewRoman" w:hAnsi="TimesNewRoman" w:eastAsia="TimesNewRoman" w:cs="TimesNewRoman"/>
        </w:rPr>
      </w:pPr>
      <w:r>
        <w:rPr>
          <w:rFonts w:ascii="TimesNewRoman" w:hAnsi="TimesNewRoman" w:eastAsia="TimesNewRoman" w:cs="TimesNewRoman"/>
        </w:rPr>
        <w:t xml:space="preserve">3. Финансовое обеспечение комплекса процессных мероприятий 11</w:t>
      </w:r>
      <w:r>
        <w:rPr>
          <w:rFonts w:ascii="TimesNewRoman" w:hAnsi="TimesNewRoman" w:eastAsia="TimesNewRoman" w:cs="TimesNewRoman"/>
        </w:rPr>
      </w:r>
      <w:r>
        <w:rPr>
          <w:rFonts w:ascii="TimesNewRoman" w:hAnsi="TimesNewRoman" w:eastAsia="TimesNewRoman" w:cs="TimesNewRoman"/>
        </w:rPr>
      </w:r>
    </w:p>
    <w:p>
      <w:pPr>
        <w:rPr>
          <w:rFonts w:ascii="TimesNewRoman" w:hAnsi="TimesNewRoman" w:eastAsia="TimesNewRoman" w:cs="TimesNewRoman"/>
        </w:rPr>
      </w:pPr>
      <w:r>
        <w:rPr>
          <w:rFonts w:ascii="TimesNewRoman" w:hAnsi="TimesNewRoman" w:eastAsia="TimesNewRoman" w:cs="TimesNewRoman"/>
        </w:rPr>
      </w:r>
      <w:r>
        <w:rPr>
          <w:rFonts w:ascii="TimesNewRoman" w:hAnsi="TimesNewRoman" w:eastAsia="TimesNewRoman" w:cs="TimesNewRoman"/>
        </w:rPr>
      </w:r>
      <w:r>
        <w:rPr>
          <w:rFonts w:ascii="TimesNewRoman" w:hAnsi="TimesNewRoman" w:eastAsia="TimesNewRoman" w:cs="TimesNewRoman"/>
        </w:rPr>
      </w:r>
    </w:p>
    <w:tbl>
      <w:tblPr>
        <w:tblW w:w="15568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4678"/>
        <w:gridCol w:w="1701"/>
        <w:gridCol w:w="992"/>
        <w:gridCol w:w="1134"/>
        <w:gridCol w:w="1134"/>
        <w:gridCol w:w="1134"/>
        <w:gridCol w:w="1134"/>
        <w:gridCol w:w="1134"/>
        <w:gridCol w:w="1134"/>
        <w:gridCol w:w="1393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78" w:type="dxa"/>
            <w:vMerge w:val="restart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Наименование мероприятия (результата)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Код бюджетной классификации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89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Объем финансового обеспечения по годам реализации, тыс. рублей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78" w:type="dxa"/>
            <w:vMerge w:val="continue"/>
            <w:textDirection w:val="lrTb"/>
            <w:noWrap w:val="false"/>
          </w:tcPr>
          <w:p>
            <w:pPr>
              <w:pStyle w:val="851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pStyle w:val="851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2024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2025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2026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2027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2028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2029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2030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3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Всего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78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1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2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3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4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5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6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7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8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9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3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10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78" w:type="dxa"/>
            <w:textDirection w:val="lrTb"/>
            <w:noWrap w:val="false"/>
          </w:tcPr>
          <w:p>
            <w:pPr>
              <w:pStyle w:val="852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Комплекс процессных мероприятий «Обеспечение деятельности исполнительных органов Белгородской области» (всего), в том числе: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03 4 11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  <w:sz w:val="20"/>
              </w:rPr>
            </w:pPr>
            <w:r>
              <w:rPr>
                <w:rFonts w:ascii="TimesNewRoman" w:hAnsi="TimesNewRoman" w:eastAsia="TimesNewRoman" w:cs="TimesNewRoman"/>
                <w:sz w:val="20"/>
              </w:rPr>
              <w:t xml:space="preserve">151046,7</w:t>
            </w:r>
            <w:r>
              <w:rPr>
                <w:rFonts w:ascii="TimesNewRoman" w:hAnsi="TimesNewRoman" w:eastAsia="TimesNewRoman" w:cs="TimesNewRoman"/>
                <w:sz w:val="20"/>
              </w:rPr>
            </w:r>
            <w:r>
              <w:rPr>
                <w:rFonts w:ascii="TimesNewRoman" w:hAnsi="TimesNewRoman" w:eastAsia="TimesNewRoman" w:cs="TimesNew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hanging="108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 xml:space="preserve"> 162 701,00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 xml:space="preserve">        156 496,1 </w:t>
            </w:r>
            <w:r>
              <w:rPr>
                <w:b/>
                <w:bCs/>
                <w:color w:val="000000"/>
                <w:sz w:val="20"/>
              </w:rPr>
            </w:r>
            <w:r>
              <w:rPr>
                <w:b/>
                <w:bCs/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 xml:space="preserve">        156 321,50 </w:t>
            </w:r>
            <w:r>
              <w:rPr>
                <w:b/>
                <w:bCs/>
                <w:color w:val="000000"/>
                <w:sz w:val="20"/>
              </w:rPr>
            </w:r>
            <w:r>
              <w:rPr>
                <w:b/>
                <w:bCs/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08" w:firstLine="0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 xml:space="preserve">156 130,80</w:t>
            </w:r>
            <w:r>
              <w:rPr>
                <w:b/>
                <w:bCs/>
                <w:color w:val="000000"/>
                <w:sz w:val="20"/>
              </w:rPr>
            </w:r>
            <w:r>
              <w:rPr>
                <w:b/>
                <w:bCs/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 xml:space="preserve">        154 645,70 </w:t>
            </w:r>
            <w:r>
              <w:rPr>
                <w:b/>
                <w:bCs/>
                <w:color w:val="000000"/>
                <w:sz w:val="20"/>
              </w:rPr>
            </w:r>
            <w:r>
              <w:rPr>
                <w:b/>
                <w:bCs/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08" w:firstLine="828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 xml:space="preserve">     </w:t>
            </w:r>
            <w:r>
              <w:rPr>
                <w:b/>
                <w:bCs/>
                <w:color w:val="000000"/>
                <w:sz w:val="20"/>
              </w:rPr>
              <w:t xml:space="preserve">154 645,70 </w:t>
            </w:r>
            <w:r>
              <w:rPr>
                <w:b/>
                <w:bCs/>
                <w:color w:val="000000"/>
                <w:sz w:val="20"/>
              </w:rPr>
            </w:r>
            <w:r>
              <w:rPr>
                <w:b/>
                <w:bCs/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3" w:type="dxa"/>
            <w:vAlign w:val="center"/>
            <w:textDirection w:val="lrTb"/>
            <w:noWrap w:val="false"/>
          </w:tcPr>
          <w:p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                  1 091 987,50 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78" w:type="dxa"/>
            <w:textDirection w:val="lrTb"/>
            <w:noWrap w:val="false"/>
          </w:tcPr>
          <w:p>
            <w:pPr>
              <w:pStyle w:val="852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Региональный бюджет (всего), из них: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pStyle w:val="851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  <w:sz w:val="20"/>
              </w:rPr>
            </w:pPr>
            <w:r>
              <w:rPr>
                <w:rFonts w:ascii="TimesNewRoman" w:hAnsi="TimesNewRoman" w:eastAsia="TimesNewRoman" w:cs="TimesNewRoman"/>
                <w:sz w:val="20"/>
              </w:rPr>
              <w:t xml:space="preserve">151046,7</w:t>
            </w:r>
            <w:r>
              <w:rPr>
                <w:rFonts w:ascii="TimesNewRoman" w:hAnsi="TimesNewRoman" w:eastAsia="TimesNewRoman" w:cs="TimesNewRoman"/>
                <w:sz w:val="20"/>
              </w:rPr>
            </w:r>
            <w:r>
              <w:rPr>
                <w:rFonts w:ascii="TimesNewRoman" w:hAnsi="TimesNewRoman" w:eastAsia="TimesNewRoman" w:cs="TimesNew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          162 701,0 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          156 496,1 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          156 321,5 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          156 130,8 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          154 645,7 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         154 645,70 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3" w:type="dxa"/>
            <w:vAlign w:val="center"/>
            <w:textDirection w:val="lrTb"/>
            <w:noWrap w:val="false"/>
          </w:tcPr>
          <w:p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                  1 091 987,50 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78" w:type="dxa"/>
            <w:textDirection w:val="lrTb"/>
            <w:noWrap w:val="false"/>
          </w:tcPr>
          <w:p>
            <w:pPr>
              <w:pStyle w:val="852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- межбюджетные трансферты из федерального бюджета (</w:t>
            </w:r>
            <w:r>
              <w:rPr>
                <w:rFonts w:ascii="TimesNewRoman" w:hAnsi="TimesNewRoman" w:eastAsia="TimesNewRoman" w:cs="TimesNewRoman"/>
              </w:rPr>
              <w:t xml:space="preserve">справочно</w:t>
            </w:r>
            <w:r>
              <w:rPr>
                <w:rFonts w:ascii="TimesNewRoman" w:hAnsi="TimesNewRoman" w:eastAsia="TimesNewRoman" w:cs="TimesNewRoman"/>
              </w:rPr>
              <w:t xml:space="preserve">)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pStyle w:val="851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  <w:sz w:val="20"/>
              </w:rPr>
            </w:pPr>
            <w:r>
              <w:rPr>
                <w:rFonts w:ascii="TimesNewRoman" w:hAnsi="TimesNewRoman" w:eastAsia="TimesNewRoman" w:cs="TimesNewRoman"/>
                <w:sz w:val="20"/>
              </w:rPr>
              <w:t xml:space="preserve">1570,3</w:t>
            </w:r>
            <w:r>
              <w:rPr>
                <w:rFonts w:ascii="TimesNewRoman" w:hAnsi="TimesNewRoman" w:eastAsia="TimesNewRoman" w:cs="TimesNewRoman"/>
                <w:sz w:val="20"/>
              </w:rPr>
            </w:r>
            <w:r>
              <w:rPr>
                <w:rFonts w:ascii="TimesNewRoman" w:hAnsi="TimesNewRoman" w:eastAsia="TimesNewRoman" w:cs="TimesNew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            10 345,9 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              1 382,4 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              1 433,3 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              1 485,10 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                        -   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                       -   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3" w:type="dxa"/>
            <w:vAlign w:val="center"/>
            <w:textDirection w:val="lrTb"/>
            <w:noWrap w:val="false"/>
          </w:tcPr>
          <w:p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                      16 217,00 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78" w:type="dxa"/>
            <w:textDirection w:val="lrTb"/>
            <w:noWrap w:val="false"/>
          </w:tcPr>
          <w:p>
            <w:pPr>
              <w:pStyle w:val="852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Бюджет территориального фонда обязательного медицинского страхования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pStyle w:val="851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851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left"/>
              <w:rPr>
                <w:rFonts w:ascii="Calibri" w:hAnsi="Calibri" w:eastAsia="Calibri" w:cs="Calibri"/>
                <w:sz w:val="20"/>
              </w:rPr>
            </w:pP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left"/>
              <w:rPr>
                <w:rFonts w:ascii="Calibri" w:hAnsi="Calibri" w:eastAsia="Calibri" w:cs="Calibri"/>
                <w:sz w:val="20"/>
              </w:rPr>
            </w:pP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left"/>
              <w:rPr>
                <w:rFonts w:ascii="Calibri" w:hAnsi="Calibri" w:eastAsia="Calibri" w:cs="Calibri"/>
                <w:sz w:val="20"/>
              </w:rPr>
            </w:pP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left"/>
              <w:rPr>
                <w:rFonts w:ascii="Calibri" w:hAnsi="Calibri" w:eastAsia="Calibri" w:cs="Calibri"/>
                <w:sz w:val="20"/>
              </w:rPr>
            </w:pP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left"/>
              <w:rPr>
                <w:rFonts w:ascii="Calibri" w:hAnsi="Calibri" w:eastAsia="Calibri" w:cs="Calibri"/>
                <w:sz w:val="20"/>
              </w:rPr>
            </w:pP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left"/>
              <w:rPr>
                <w:rFonts w:ascii="Calibri" w:hAnsi="Calibri" w:eastAsia="Calibri" w:cs="Calibri"/>
                <w:sz w:val="20"/>
              </w:rPr>
            </w:pP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3" w:type="dxa"/>
            <w:textDirection w:val="lrTb"/>
            <w:noWrap w:val="false"/>
          </w:tcPr>
          <w:p>
            <w:pPr>
              <w:jc w:val="left"/>
              <w:rPr>
                <w:rFonts w:ascii="Calibri" w:hAnsi="Calibri" w:eastAsia="Calibri" w:cs="Calibri"/>
                <w:sz w:val="20"/>
              </w:rPr>
            </w:pP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78" w:type="dxa"/>
            <w:textDirection w:val="lrTb"/>
            <w:noWrap w:val="false"/>
          </w:tcPr>
          <w:p>
            <w:pPr>
              <w:pStyle w:val="852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Консолидированные бюджеты муниципальных образований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pStyle w:val="851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851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left"/>
              <w:rPr>
                <w:rFonts w:ascii="Calibri" w:hAnsi="Calibri" w:eastAsia="Calibri" w:cs="Calibri"/>
                <w:sz w:val="20"/>
              </w:rPr>
            </w:pP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left"/>
              <w:rPr>
                <w:rFonts w:ascii="Calibri" w:hAnsi="Calibri" w:eastAsia="Calibri" w:cs="Calibri"/>
                <w:sz w:val="20"/>
              </w:rPr>
            </w:pP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left"/>
              <w:rPr>
                <w:rFonts w:ascii="Calibri" w:hAnsi="Calibri" w:eastAsia="Calibri" w:cs="Calibri"/>
                <w:sz w:val="20"/>
              </w:rPr>
            </w:pP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left"/>
              <w:rPr>
                <w:rFonts w:ascii="Calibri" w:hAnsi="Calibri" w:eastAsia="Calibri" w:cs="Calibri"/>
                <w:sz w:val="20"/>
              </w:rPr>
            </w:pP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left"/>
              <w:rPr>
                <w:rFonts w:ascii="Calibri" w:hAnsi="Calibri" w:eastAsia="Calibri" w:cs="Calibri"/>
                <w:sz w:val="20"/>
              </w:rPr>
            </w:pP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left"/>
              <w:rPr>
                <w:rFonts w:ascii="Calibri" w:hAnsi="Calibri" w:eastAsia="Calibri" w:cs="Calibri"/>
                <w:sz w:val="20"/>
              </w:rPr>
            </w:pP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3" w:type="dxa"/>
            <w:textDirection w:val="lrTb"/>
            <w:noWrap w:val="false"/>
          </w:tcPr>
          <w:p>
            <w:pPr>
              <w:jc w:val="left"/>
              <w:rPr>
                <w:rFonts w:ascii="Calibri" w:hAnsi="Calibri" w:eastAsia="Calibri" w:cs="Calibri"/>
                <w:sz w:val="20"/>
              </w:rPr>
            </w:pP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78" w:type="dxa"/>
            <w:textDirection w:val="lrTb"/>
            <w:noWrap w:val="false"/>
          </w:tcPr>
          <w:p>
            <w:pPr>
              <w:pStyle w:val="852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Внебюджетные источники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pStyle w:val="851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851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left"/>
              <w:rPr>
                <w:rFonts w:ascii="Calibri" w:hAnsi="Calibri" w:eastAsia="Calibri" w:cs="Calibri"/>
                <w:sz w:val="20"/>
              </w:rPr>
            </w:pP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left"/>
              <w:rPr>
                <w:rFonts w:ascii="Calibri" w:hAnsi="Calibri" w:eastAsia="Calibri" w:cs="Calibri"/>
                <w:sz w:val="20"/>
              </w:rPr>
            </w:pP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left"/>
              <w:rPr>
                <w:rFonts w:ascii="Calibri" w:hAnsi="Calibri" w:eastAsia="Calibri" w:cs="Calibri"/>
                <w:sz w:val="20"/>
              </w:rPr>
            </w:pP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left"/>
              <w:rPr>
                <w:rFonts w:ascii="Calibri" w:hAnsi="Calibri" w:eastAsia="Calibri" w:cs="Calibri"/>
                <w:sz w:val="20"/>
              </w:rPr>
            </w:pP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left"/>
              <w:rPr>
                <w:rFonts w:ascii="Calibri" w:hAnsi="Calibri" w:eastAsia="Calibri" w:cs="Calibri"/>
                <w:sz w:val="20"/>
              </w:rPr>
            </w:pP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left"/>
              <w:rPr>
                <w:rFonts w:ascii="Calibri" w:hAnsi="Calibri" w:eastAsia="Calibri" w:cs="Calibri"/>
                <w:sz w:val="20"/>
              </w:rPr>
            </w:pP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3" w:type="dxa"/>
            <w:textDirection w:val="lrTb"/>
            <w:noWrap w:val="false"/>
          </w:tcPr>
          <w:p>
            <w:pPr>
              <w:jc w:val="left"/>
              <w:rPr>
                <w:rFonts w:ascii="Calibri" w:hAnsi="Calibri" w:eastAsia="Calibri" w:cs="Calibri"/>
                <w:sz w:val="20"/>
              </w:rPr>
            </w:pP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78" w:type="dxa"/>
            <w:textDirection w:val="lrTb"/>
            <w:noWrap w:val="false"/>
          </w:tcPr>
          <w:p>
            <w:pPr>
              <w:pStyle w:val="852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Мероприятие (результат) «Обеспечена деятельность министерства здравоохранения Белгородской области», всего, в том числе: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809 0909 03 4 11 00190 100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809 0909 03 4 11 00190 200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  <w:sz w:val="20"/>
              </w:rPr>
            </w:pPr>
            <w:r>
              <w:rPr>
                <w:rFonts w:ascii="TimesNewRoman" w:hAnsi="TimesNewRoman" w:eastAsia="TimesNewRoman" w:cs="TimesNewRoman"/>
                <w:sz w:val="20"/>
              </w:rPr>
              <w:t xml:space="preserve">132898,0</w:t>
            </w:r>
            <w:r>
              <w:rPr>
                <w:rFonts w:ascii="TimesNewRoman" w:hAnsi="TimesNewRoman" w:eastAsia="TimesNewRoman" w:cs="TimesNewRoman"/>
                <w:sz w:val="20"/>
              </w:rPr>
            </w:r>
            <w:r>
              <w:rPr>
                <w:rFonts w:ascii="TimesNewRoman" w:hAnsi="TimesNewRoman" w:eastAsia="TimesNewRoman" w:cs="TimesNew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144 435,10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          138 292,00 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          138 292,00 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          138 292,00 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          138 292,00 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         138 292,00 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3" w:type="dxa"/>
            <w:vAlign w:val="center"/>
            <w:textDirection w:val="lrTb"/>
            <w:noWrap w:val="false"/>
          </w:tcPr>
          <w:p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   968 793,10 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78" w:type="dxa"/>
            <w:textDirection w:val="lrTb"/>
            <w:noWrap w:val="false"/>
          </w:tcPr>
          <w:p>
            <w:pPr>
              <w:pStyle w:val="852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Региональный бюджет (всего), из них: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pStyle w:val="851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  <w:sz w:val="20"/>
              </w:rPr>
            </w:pPr>
            <w:r>
              <w:rPr>
                <w:rFonts w:ascii="TimesNewRoman" w:hAnsi="TimesNewRoman" w:eastAsia="TimesNewRoman" w:cs="TimesNewRoman"/>
                <w:sz w:val="20"/>
              </w:rPr>
              <w:t xml:space="preserve">132898,0</w:t>
            </w:r>
            <w:r>
              <w:rPr>
                <w:rFonts w:ascii="TimesNewRoman" w:hAnsi="TimesNewRoman" w:eastAsia="TimesNewRoman" w:cs="TimesNewRoman"/>
                <w:sz w:val="20"/>
              </w:rPr>
            </w:r>
            <w:r>
              <w:rPr>
                <w:rFonts w:ascii="TimesNewRoman" w:hAnsi="TimesNewRoman" w:eastAsia="TimesNewRoman" w:cs="TimesNew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          144 435,10 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          138 292,00 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          138 292,00 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          138 292,00 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          138 292,00 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         138 292,00 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3" w:type="dxa"/>
            <w:vAlign w:val="center"/>
            <w:textDirection w:val="lrTb"/>
            <w:noWrap w:val="false"/>
          </w:tcPr>
          <w:p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   968 793,10 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78" w:type="dxa"/>
            <w:textDirection w:val="lrTb"/>
            <w:noWrap w:val="false"/>
          </w:tcPr>
          <w:p>
            <w:pPr>
              <w:pStyle w:val="852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- межбюджетные трансферты из федерального бюджета (</w:t>
            </w:r>
            <w:r>
              <w:rPr>
                <w:rFonts w:ascii="TimesNewRoman" w:hAnsi="TimesNewRoman" w:eastAsia="TimesNewRoman" w:cs="TimesNewRoman"/>
              </w:rPr>
              <w:t xml:space="preserve">справочно</w:t>
            </w:r>
            <w:r>
              <w:rPr>
                <w:rFonts w:ascii="TimesNewRoman" w:hAnsi="TimesNewRoman" w:eastAsia="TimesNewRoman" w:cs="TimesNewRoman"/>
              </w:rPr>
              <w:t xml:space="preserve">)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pStyle w:val="851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851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Calibri" w:hAnsi="Calibri" w:eastAsia="Calibri" w:cs="Calibri"/>
                <w:sz w:val="20"/>
              </w:rPr>
            </w:pP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Calibri" w:hAnsi="Calibri" w:eastAsia="Calibri" w:cs="Calibri"/>
                <w:sz w:val="20"/>
              </w:rPr>
            </w:pP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Calibri" w:hAnsi="Calibri" w:eastAsia="Calibri" w:cs="Calibri"/>
                <w:sz w:val="20"/>
              </w:rPr>
            </w:pP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Calibri" w:hAnsi="Calibri" w:eastAsia="Calibri" w:cs="Calibri"/>
                <w:sz w:val="20"/>
              </w:rPr>
            </w:pP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Calibri" w:hAnsi="Calibri" w:eastAsia="Calibri" w:cs="Calibri"/>
                <w:sz w:val="20"/>
              </w:rPr>
            </w:pP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Calibri" w:hAnsi="Calibri" w:eastAsia="Calibri" w:cs="Calibri"/>
                <w:sz w:val="20"/>
              </w:rPr>
            </w:pP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3" w:type="dxa"/>
            <w:textDirection w:val="lrTb"/>
            <w:noWrap w:val="false"/>
          </w:tcPr>
          <w:p>
            <w:pPr>
              <w:ind w:firstLine="0"/>
              <w:rPr>
                <w:rFonts w:ascii="Calibri" w:hAnsi="Calibri" w:eastAsia="Calibri" w:cs="Calibri"/>
                <w:sz w:val="20"/>
              </w:rPr>
            </w:pP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78" w:type="dxa"/>
            <w:textDirection w:val="lrTb"/>
            <w:noWrap w:val="false"/>
          </w:tcPr>
          <w:p>
            <w:pPr>
              <w:pStyle w:val="852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Бюджет территориального фонда обязательного медицинского страхования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pStyle w:val="851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851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left"/>
              <w:rPr>
                <w:rFonts w:ascii="Calibri" w:hAnsi="Calibri" w:eastAsia="Calibri" w:cs="Calibri"/>
                <w:sz w:val="20"/>
              </w:rPr>
            </w:pP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left"/>
              <w:rPr>
                <w:rFonts w:ascii="Calibri" w:hAnsi="Calibri" w:eastAsia="Calibri" w:cs="Calibri"/>
                <w:sz w:val="20"/>
              </w:rPr>
            </w:pP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left"/>
              <w:rPr>
                <w:rFonts w:ascii="Calibri" w:hAnsi="Calibri" w:eastAsia="Calibri" w:cs="Calibri"/>
                <w:sz w:val="20"/>
              </w:rPr>
            </w:pP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left"/>
              <w:rPr>
                <w:rFonts w:ascii="Calibri" w:hAnsi="Calibri" w:eastAsia="Calibri" w:cs="Calibri"/>
                <w:sz w:val="20"/>
              </w:rPr>
            </w:pP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left"/>
              <w:rPr>
                <w:rFonts w:ascii="Calibri" w:hAnsi="Calibri" w:eastAsia="Calibri" w:cs="Calibri"/>
                <w:sz w:val="20"/>
              </w:rPr>
            </w:pP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left"/>
              <w:rPr>
                <w:rFonts w:ascii="Calibri" w:hAnsi="Calibri" w:eastAsia="Calibri" w:cs="Calibri"/>
                <w:sz w:val="20"/>
              </w:rPr>
            </w:pP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3" w:type="dxa"/>
            <w:textDirection w:val="lrTb"/>
            <w:noWrap w:val="false"/>
          </w:tcPr>
          <w:p>
            <w:pPr>
              <w:jc w:val="left"/>
              <w:rPr>
                <w:rFonts w:ascii="Calibri" w:hAnsi="Calibri" w:eastAsia="Calibri" w:cs="Calibri"/>
                <w:sz w:val="20"/>
              </w:rPr>
            </w:pP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78" w:type="dxa"/>
            <w:textDirection w:val="lrTb"/>
            <w:noWrap w:val="false"/>
          </w:tcPr>
          <w:p>
            <w:pPr>
              <w:pStyle w:val="852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Консолидированные бюджеты муниципальных образований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pStyle w:val="851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851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left"/>
              <w:rPr>
                <w:rFonts w:ascii="Calibri" w:hAnsi="Calibri" w:eastAsia="Calibri" w:cs="Calibri"/>
                <w:sz w:val="20"/>
              </w:rPr>
            </w:pP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left"/>
              <w:rPr>
                <w:rFonts w:ascii="Calibri" w:hAnsi="Calibri" w:eastAsia="Calibri" w:cs="Calibri"/>
                <w:sz w:val="20"/>
              </w:rPr>
            </w:pP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left"/>
              <w:rPr>
                <w:rFonts w:ascii="Calibri" w:hAnsi="Calibri" w:eastAsia="Calibri" w:cs="Calibri"/>
                <w:sz w:val="20"/>
              </w:rPr>
            </w:pP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left"/>
              <w:rPr>
                <w:rFonts w:ascii="Calibri" w:hAnsi="Calibri" w:eastAsia="Calibri" w:cs="Calibri"/>
                <w:sz w:val="20"/>
              </w:rPr>
            </w:pP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left"/>
              <w:rPr>
                <w:rFonts w:ascii="Calibri" w:hAnsi="Calibri" w:eastAsia="Calibri" w:cs="Calibri"/>
                <w:sz w:val="20"/>
              </w:rPr>
            </w:pP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left"/>
              <w:rPr>
                <w:rFonts w:ascii="Calibri" w:hAnsi="Calibri" w:eastAsia="Calibri" w:cs="Calibri"/>
                <w:sz w:val="20"/>
              </w:rPr>
            </w:pP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3" w:type="dxa"/>
            <w:textDirection w:val="lrTb"/>
            <w:noWrap w:val="false"/>
          </w:tcPr>
          <w:p>
            <w:pPr>
              <w:jc w:val="left"/>
              <w:rPr>
                <w:rFonts w:ascii="Calibri" w:hAnsi="Calibri" w:eastAsia="Calibri" w:cs="Calibri"/>
                <w:sz w:val="20"/>
              </w:rPr>
            </w:pP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78" w:type="dxa"/>
            <w:textDirection w:val="lrTb"/>
            <w:noWrap w:val="false"/>
          </w:tcPr>
          <w:p>
            <w:pPr>
              <w:pStyle w:val="852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Внебюджетные источники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pStyle w:val="851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851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left"/>
              <w:rPr>
                <w:rFonts w:ascii="Calibri" w:hAnsi="Calibri" w:eastAsia="Calibri" w:cs="Calibri"/>
                <w:sz w:val="20"/>
              </w:rPr>
            </w:pP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left"/>
              <w:rPr>
                <w:rFonts w:ascii="Calibri" w:hAnsi="Calibri" w:eastAsia="Calibri" w:cs="Calibri"/>
                <w:sz w:val="20"/>
              </w:rPr>
            </w:pP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left"/>
              <w:rPr>
                <w:rFonts w:ascii="Calibri" w:hAnsi="Calibri" w:eastAsia="Calibri" w:cs="Calibri"/>
                <w:sz w:val="20"/>
              </w:rPr>
            </w:pP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left"/>
              <w:rPr>
                <w:rFonts w:ascii="Calibri" w:hAnsi="Calibri" w:eastAsia="Calibri" w:cs="Calibri"/>
                <w:sz w:val="20"/>
              </w:rPr>
            </w:pP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left"/>
              <w:rPr>
                <w:rFonts w:ascii="Calibri" w:hAnsi="Calibri" w:eastAsia="Calibri" w:cs="Calibri"/>
                <w:sz w:val="20"/>
              </w:rPr>
            </w:pP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left"/>
              <w:rPr>
                <w:rFonts w:ascii="Calibri" w:hAnsi="Calibri" w:eastAsia="Calibri" w:cs="Calibri"/>
                <w:sz w:val="20"/>
              </w:rPr>
            </w:pP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3" w:type="dxa"/>
            <w:textDirection w:val="lrTb"/>
            <w:noWrap w:val="false"/>
          </w:tcPr>
          <w:p>
            <w:pPr>
              <w:jc w:val="left"/>
              <w:rPr>
                <w:rFonts w:ascii="Calibri" w:hAnsi="Calibri" w:eastAsia="Calibri" w:cs="Calibri"/>
                <w:sz w:val="20"/>
              </w:rPr>
            </w:pP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78" w:type="dxa"/>
            <w:textDirection w:val="lrTb"/>
            <w:noWrap w:val="false"/>
          </w:tcPr>
          <w:p>
            <w:pPr>
              <w:pStyle w:val="852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Мероприятие (результат) «Обеспечено выполнение финансирования иных обязательств», всего, в том числе: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809 0909 03 4 11 20190 200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809 0909 03 4 11 20190 800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  <w:sz w:val="20"/>
              </w:rPr>
            </w:pPr>
            <w:r>
              <w:rPr>
                <w:rFonts w:ascii="TimesNewRoman" w:hAnsi="TimesNewRoman" w:eastAsia="TimesNewRoman" w:cs="TimesNewRoman"/>
                <w:sz w:val="20"/>
              </w:rPr>
              <w:t xml:space="preserve">16578,4</w:t>
            </w:r>
            <w:r>
              <w:rPr>
                <w:rFonts w:ascii="TimesNewRoman" w:hAnsi="TimesNewRoman" w:eastAsia="TimesNewRoman" w:cs="TimesNewRoman"/>
                <w:sz w:val="20"/>
              </w:rPr>
            </w:r>
            <w:r>
              <w:rPr>
                <w:rFonts w:ascii="TimesNewRoman" w:hAnsi="TimesNewRoman" w:eastAsia="TimesNewRoman" w:cs="TimesNew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16 920,00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            16 821,70 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            16 596,20 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            16 353,70 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            16 353,70 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           16 353,70 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3" w:type="dxa"/>
            <w:vAlign w:val="center"/>
            <w:textDirection w:val="lrTb"/>
            <w:noWrap w:val="false"/>
          </w:tcPr>
          <w:p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                    115 977,40 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78" w:type="dxa"/>
            <w:textDirection w:val="lrTb"/>
            <w:noWrap w:val="false"/>
          </w:tcPr>
          <w:p>
            <w:pPr>
              <w:pStyle w:val="852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Региональный бюджет (всего), из них: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pStyle w:val="851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  <w:sz w:val="20"/>
              </w:rPr>
            </w:pPr>
            <w:r>
              <w:rPr>
                <w:rFonts w:ascii="TimesNewRoman" w:hAnsi="TimesNewRoman" w:eastAsia="TimesNewRoman" w:cs="TimesNewRoman"/>
                <w:sz w:val="20"/>
              </w:rPr>
              <w:t xml:space="preserve">16578,4</w:t>
            </w:r>
            <w:r>
              <w:rPr>
                <w:rFonts w:ascii="TimesNewRoman" w:hAnsi="TimesNewRoman" w:eastAsia="TimesNewRoman" w:cs="TimesNewRoman"/>
                <w:sz w:val="20"/>
              </w:rPr>
            </w:r>
            <w:r>
              <w:rPr>
                <w:rFonts w:ascii="TimesNewRoman" w:hAnsi="TimesNewRoman" w:eastAsia="TimesNewRoman" w:cs="TimesNew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            16 920,00 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            16 821,70 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            16 596,20 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            16 353,70 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            16 353,70 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           16 353,70 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3" w:type="dxa"/>
            <w:vAlign w:val="center"/>
            <w:textDirection w:val="lrTb"/>
            <w:noWrap w:val="false"/>
          </w:tcPr>
          <w:p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                    115 977,40 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78" w:type="dxa"/>
            <w:textDirection w:val="lrTb"/>
            <w:noWrap w:val="false"/>
          </w:tcPr>
          <w:p>
            <w:pPr>
              <w:pStyle w:val="852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- межбюджетные трансферты из федерального бюджета (</w:t>
            </w:r>
            <w:r>
              <w:rPr>
                <w:rFonts w:ascii="TimesNewRoman" w:hAnsi="TimesNewRoman" w:eastAsia="TimesNewRoman" w:cs="TimesNewRoman"/>
              </w:rPr>
              <w:t xml:space="preserve">справочно</w:t>
            </w:r>
            <w:r>
              <w:rPr>
                <w:rFonts w:ascii="TimesNewRoman" w:hAnsi="TimesNewRoman" w:eastAsia="TimesNewRoman" w:cs="TimesNewRoman"/>
              </w:rPr>
              <w:t xml:space="preserve">)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pStyle w:val="851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851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Calibri" w:hAnsi="Calibri" w:eastAsia="Calibri" w:cs="Calibri"/>
                <w:sz w:val="20"/>
              </w:rPr>
            </w:pP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Calibri" w:hAnsi="Calibri" w:eastAsia="Calibri" w:cs="Calibri"/>
                <w:sz w:val="20"/>
              </w:rPr>
            </w:pP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Calibri" w:hAnsi="Calibri" w:eastAsia="Calibri" w:cs="Calibri"/>
                <w:sz w:val="20"/>
              </w:rPr>
            </w:pP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Calibri" w:hAnsi="Calibri" w:eastAsia="Calibri" w:cs="Calibri"/>
                <w:sz w:val="20"/>
              </w:rPr>
            </w:pP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Calibri" w:hAnsi="Calibri" w:eastAsia="Calibri" w:cs="Calibri"/>
                <w:sz w:val="20"/>
              </w:rPr>
            </w:pP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Calibri" w:hAnsi="Calibri" w:eastAsia="Calibri" w:cs="Calibri"/>
                <w:sz w:val="20"/>
              </w:rPr>
            </w:pP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3" w:type="dxa"/>
            <w:vAlign w:val="center"/>
            <w:textDirection w:val="lrTb"/>
            <w:noWrap w:val="false"/>
          </w:tcPr>
          <w:p>
            <w:pPr>
              <w:pStyle w:val="851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78" w:type="dxa"/>
            <w:textDirection w:val="lrTb"/>
            <w:noWrap w:val="false"/>
          </w:tcPr>
          <w:p>
            <w:pPr>
              <w:pStyle w:val="852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Бюджет территориального фонда обязательного медицинского страхования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pStyle w:val="851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851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51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51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51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51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51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51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3" w:type="dxa"/>
            <w:textDirection w:val="lrTb"/>
            <w:noWrap w:val="false"/>
          </w:tcPr>
          <w:p>
            <w:pPr>
              <w:pStyle w:val="851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78" w:type="dxa"/>
            <w:textDirection w:val="lrTb"/>
            <w:noWrap w:val="false"/>
          </w:tcPr>
          <w:p>
            <w:pPr>
              <w:pStyle w:val="852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Консолидированные бюджеты муниципальных образований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pStyle w:val="851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851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51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51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51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51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51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51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3" w:type="dxa"/>
            <w:textDirection w:val="lrTb"/>
            <w:noWrap w:val="false"/>
          </w:tcPr>
          <w:p>
            <w:pPr>
              <w:pStyle w:val="851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78" w:type="dxa"/>
            <w:textDirection w:val="lrTb"/>
            <w:noWrap w:val="false"/>
          </w:tcPr>
          <w:p>
            <w:pPr>
              <w:pStyle w:val="852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Внебюджетные источники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pStyle w:val="851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851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51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51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51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51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51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51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3" w:type="dxa"/>
            <w:textDirection w:val="lrTb"/>
            <w:noWrap w:val="false"/>
          </w:tcPr>
          <w:p>
            <w:pPr>
              <w:pStyle w:val="851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78" w:type="dxa"/>
            <w:textDirection w:val="lrTb"/>
            <w:noWrap w:val="false"/>
          </w:tcPr>
          <w:p>
            <w:pPr>
              <w:pStyle w:val="852"/>
              <w:ind w:firstLine="0"/>
              <w:rPr>
                <w:rFonts w:ascii="TimesNewRoman" w:hAnsi="TimesNewRoman" w:eastAsia="TimesNewRoman" w:cs="TimesNewRoman"/>
              </w:rPr>
            </w:pPr>
            <w:r/>
            <w:bookmarkStart w:id="3" w:name="_GoBack"/>
            <w:r>
              <w:rPr>
                <w:rFonts w:ascii="TimesNewRoman" w:hAnsi="TimesNewRoman" w:eastAsia="TimesNewRoman" w:cs="TimesNewRoman"/>
              </w:rPr>
              <w:t xml:space="preserve">Мероприятие (результат) «Осуществлены переданные органам государственной власти субъектов Российской Федерации в соответствии с </w:t>
            </w:r>
            <w:hyperlink r:id="rId13" w:tooltip="http://garant.belregion.ru/document/redirect/12191967/151" w:history="1">
              <w:r>
                <w:rPr>
                  <w:rFonts w:ascii="TimesNewRoman" w:hAnsi="TimesNewRoman" w:eastAsia="TimesNewRoman" w:cs="TimesNewRoman"/>
                  <w:color w:val="106bbe"/>
                </w:rPr>
                <w:t xml:space="preserve">частью 1 статьи 15</w:t>
              </w:r>
            </w:hyperlink>
            <w:r>
              <w:rPr>
                <w:rFonts w:ascii="TimesNewRoman" w:hAnsi="TimesNewRoman" w:eastAsia="TimesNewRoman" w:cs="TimesNewRoman"/>
              </w:rPr>
              <w:t xml:space="preserve"> Федерального закона от 21 ноября 2011 года N 323-ФЗ «Об основах охраны здоровья граждан в Российской Федерации» полномочия Российской Федерации в сфере охраны здоровья», всего, в том числе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809 0909 03 4 11 59800 100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809 0909 03 4 11 59800 200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809 0909 03 4 11 59800 800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  <w:sz w:val="20"/>
              </w:rPr>
            </w:pPr>
            <w:r>
              <w:rPr>
                <w:rFonts w:ascii="TimesNewRoman" w:hAnsi="TimesNewRoman" w:eastAsia="TimesNewRoman" w:cs="TimesNewRoman"/>
                <w:sz w:val="20"/>
              </w:rPr>
              <w:t xml:space="preserve">1570,3</w:t>
            </w:r>
            <w:r>
              <w:rPr>
                <w:rFonts w:ascii="TimesNewRoman" w:hAnsi="TimesNewRoman" w:eastAsia="TimesNewRoman" w:cs="TimesNewRoman"/>
                <w:sz w:val="20"/>
              </w:rPr>
            </w:r>
            <w:r>
              <w:rPr>
                <w:rFonts w:ascii="TimesNewRoman" w:hAnsi="TimesNewRoman" w:eastAsia="TimesNewRoman" w:cs="TimesNew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1 345,90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              1 382,40 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              1 433,30 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              1 485,10 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                        -   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                       -   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3" w:type="dxa"/>
            <w:vAlign w:val="center"/>
            <w:textDirection w:val="lrTb"/>
            <w:noWrap w:val="false"/>
          </w:tcPr>
          <w:p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                        7 217,00 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78" w:type="dxa"/>
            <w:textDirection w:val="lrTb"/>
            <w:noWrap w:val="false"/>
          </w:tcPr>
          <w:p>
            <w:pPr>
              <w:pStyle w:val="852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Региональный бюджет (всего), из них: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pStyle w:val="851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  <w:sz w:val="20"/>
              </w:rPr>
            </w:pPr>
            <w:r>
              <w:rPr>
                <w:rFonts w:ascii="TimesNewRoman" w:hAnsi="TimesNewRoman" w:eastAsia="TimesNewRoman" w:cs="TimesNewRoman"/>
                <w:sz w:val="20"/>
              </w:rPr>
              <w:t xml:space="preserve">1570,3</w:t>
            </w:r>
            <w:r>
              <w:rPr>
                <w:rFonts w:ascii="TimesNewRoman" w:hAnsi="TimesNewRoman" w:eastAsia="TimesNewRoman" w:cs="TimesNewRoman"/>
                <w:sz w:val="20"/>
              </w:rPr>
            </w:r>
            <w:r>
              <w:rPr>
                <w:rFonts w:ascii="TimesNewRoman" w:hAnsi="TimesNewRoman" w:eastAsia="TimesNewRoman" w:cs="TimesNew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              1 345,90 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              1 382,40 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              1 433,30 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              1 485,10 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                        -   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                       -   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3" w:type="dxa"/>
            <w:vAlign w:val="center"/>
            <w:textDirection w:val="lrTb"/>
            <w:noWrap w:val="false"/>
          </w:tcPr>
          <w:p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                        7 217,00 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78" w:type="dxa"/>
            <w:textDirection w:val="lrTb"/>
            <w:noWrap w:val="false"/>
          </w:tcPr>
          <w:p>
            <w:pPr>
              <w:pStyle w:val="852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- межбюджетные трансферты из федерального бюджета (</w:t>
            </w:r>
            <w:r>
              <w:rPr>
                <w:rFonts w:ascii="TimesNewRoman" w:hAnsi="TimesNewRoman" w:eastAsia="TimesNewRoman" w:cs="TimesNewRoman"/>
              </w:rPr>
              <w:t xml:space="preserve">справочно</w:t>
            </w:r>
            <w:r>
              <w:rPr>
                <w:rFonts w:ascii="TimesNewRoman" w:hAnsi="TimesNewRoman" w:eastAsia="TimesNewRoman" w:cs="TimesNewRoman"/>
              </w:rPr>
              <w:t xml:space="preserve">)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pStyle w:val="851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  <w:sz w:val="20"/>
              </w:rPr>
            </w:pPr>
            <w:r>
              <w:rPr>
                <w:rFonts w:ascii="TimesNewRoman" w:hAnsi="TimesNewRoman" w:eastAsia="TimesNewRoman" w:cs="TimesNewRoman"/>
                <w:sz w:val="20"/>
              </w:rPr>
              <w:t xml:space="preserve">1570,3</w:t>
            </w:r>
            <w:r>
              <w:rPr>
                <w:rFonts w:ascii="TimesNewRoman" w:hAnsi="TimesNewRoman" w:eastAsia="TimesNewRoman" w:cs="TimesNewRoman"/>
                <w:sz w:val="20"/>
              </w:rPr>
            </w:r>
            <w:r>
              <w:rPr>
                <w:rFonts w:ascii="TimesNewRoman" w:hAnsi="TimesNewRoman" w:eastAsia="TimesNewRoman" w:cs="TimesNew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              1 345,90 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              1 382,40 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              1 433,30 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              1 485,10 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 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 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3" w:type="dxa"/>
            <w:vAlign w:val="center"/>
            <w:textDirection w:val="lrTb"/>
            <w:noWrap w:val="false"/>
          </w:tcPr>
          <w:p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                        7 217,00 </w:t>
            </w:r>
            <w:bookmarkEnd w:id="3"/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78" w:type="dxa"/>
            <w:textDirection w:val="lrTb"/>
            <w:noWrap w:val="false"/>
          </w:tcPr>
          <w:p>
            <w:pPr>
              <w:pStyle w:val="852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Бюджет территориального фонда обязательного медицинского страхования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pStyle w:val="851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851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51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51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51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51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51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51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3" w:type="dxa"/>
            <w:textDirection w:val="lrTb"/>
            <w:noWrap w:val="false"/>
          </w:tcPr>
          <w:p>
            <w:pPr>
              <w:pStyle w:val="851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78" w:type="dxa"/>
            <w:textDirection w:val="lrTb"/>
            <w:noWrap w:val="false"/>
          </w:tcPr>
          <w:p>
            <w:pPr>
              <w:pStyle w:val="852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Консолидированные бюджеты муниципальных образований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pStyle w:val="851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851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51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51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51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51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51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51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3" w:type="dxa"/>
            <w:textDirection w:val="lrTb"/>
            <w:noWrap w:val="false"/>
          </w:tcPr>
          <w:p>
            <w:pPr>
              <w:pStyle w:val="851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78" w:type="dxa"/>
            <w:textDirection w:val="lrTb"/>
            <w:noWrap w:val="false"/>
          </w:tcPr>
          <w:p>
            <w:pPr>
              <w:pStyle w:val="852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Внебюджетные источники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pStyle w:val="851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851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51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51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51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51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51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51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3" w:type="dxa"/>
            <w:textDirection w:val="lrTb"/>
            <w:noWrap w:val="false"/>
          </w:tcPr>
          <w:p>
            <w:pPr>
              <w:pStyle w:val="851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78" w:type="dxa"/>
            <w:textDirection w:val="lrTb"/>
            <w:noWrap w:val="false"/>
          </w:tcPr>
          <w:p>
            <w:pPr>
              <w:pStyle w:val="852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Нераспределенный резерв (региональный бюджет)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51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851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51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51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51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51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51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51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3" w:type="dxa"/>
            <w:textDirection w:val="lrTb"/>
            <w:noWrap w:val="false"/>
          </w:tcPr>
          <w:p>
            <w:pPr>
              <w:pStyle w:val="851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</w:tr>
    </w:tbl>
    <w:p>
      <w:pPr>
        <w:pStyle w:val="667"/>
        <w:ind w:firstLine="0"/>
        <w:spacing w:before="0" w:after="0"/>
        <w:rPr>
          <w:rFonts w:ascii="TimesNewRoman" w:hAnsi="TimesNewRoman" w:eastAsia="TimesNewRoman" w:cs="TimesNewRoman"/>
        </w:rPr>
      </w:pPr>
      <w:r>
        <w:rPr>
          <w:rFonts w:ascii="TimesNewRoman" w:hAnsi="TimesNewRoman" w:eastAsia="TimesNewRoman" w:cs="TimesNewRoman"/>
        </w:rPr>
      </w:r>
      <w:r>
        <w:rPr>
          <w:rFonts w:ascii="TimesNewRoman" w:hAnsi="TimesNewRoman" w:eastAsia="TimesNewRoman" w:cs="TimesNewRoman"/>
        </w:rPr>
      </w:r>
      <w:r>
        <w:rPr>
          <w:rFonts w:ascii="TimesNewRoman" w:hAnsi="TimesNewRoman" w:eastAsia="TimesNewRoman" w:cs="TimesNewRoman"/>
        </w:rPr>
      </w:r>
    </w:p>
    <w:p>
      <w:pPr>
        <w:pStyle w:val="667"/>
        <w:ind w:firstLine="0"/>
        <w:spacing w:before="0" w:after="0"/>
        <w:rPr>
          <w:rFonts w:ascii="TimesNewRoman" w:hAnsi="TimesNewRoman" w:eastAsia="TimesNewRoman" w:cs="TimesNewRoman"/>
        </w:rPr>
      </w:pPr>
      <w:r>
        <w:rPr>
          <w:rFonts w:ascii="TimesNewRoman" w:hAnsi="TimesNewRoman" w:eastAsia="TimesNewRoman" w:cs="TimesNewRoman"/>
        </w:rPr>
        <w:t xml:space="preserve">4. План реализации комплекса процессных мероприятий 11</w:t>
      </w:r>
      <w:r>
        <w:rPr>
          <w:rFonts w:ascii="TimesNewRoman" w:hAnsi="TimesNewRoman" w:eastAsia="TimesNewRoman" w:cs="TimesNewRoman"/>
        </w:rPr>
      </w:r>
      <w:r>
        <w:rPr>
          <w:rFonts w:ascii="TimesNewRoman" w:hAnsi="TimesNewRoman" w:eastAsia="TimesNewRoman" w:cs="TimesNewRoman"/>
        </w:rPr>
      </w:r>
    </w:p>
    <w:p>
      <w:pPr>
        <w:rPr>
          <w:rFonts w:ascii="TimesNewRoman" w:hAnsi="TimesNewRoman" w:eastAsia="TimesNewRoman" w:cs="TimesNewRoman"/>
        </w:rPr>
      </w:pPr>
      <w:r>
        <w:rPr>
          <w:rFonts w:ascii="TimesNewRoman" w:hAnsi="TimesNewRoman" w:eastAsia="TimesNewRoman" w:cs="TimesNewRoman"/>
        </w:rPr>
      </w:r>
      <w:r>
        <w:rPr>
          <w:rFonts w:ascii="TimesNewRoman" w:hAnsi="TimesNewRoman" w:eastAsia="TimesNewRoman" w:cs="TimesNewRoman"/>
        </w:rPr>
      </w:r>
      <w:r>
        <w:rPr>
          <w:rFonts w:ascii="TimesNewRoman" w:hAnsi="TimesNewRoman" w:eastAsia="TimesNewRoman" w:cs="TimesNewRoman"/>
        </w:rPr>
      </w:r>
    </w:p>
    <w:tbl>
      <w:tblPr>
        <w:tblW w:w="15451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709"/>
        <w:gridCol w:w="4536"/>
        <w:gridCol w:w="2410"/>
        <w:gridCol w:w="3827"/>
        <w:gridCol w:w="3969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N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п/п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Задача, мероприятие (результат)/ контрольная точка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Дата наступления контрольной точки (день, месяц)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7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Ответственный исполнитель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69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Вид подтверждающего документа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1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2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3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7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4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69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5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/>
            <w:bookmarkStart w:id="4" w:name="sub_102441"/>
            <w:r>
              <w:rPr>
                <w:rFonts w:ascii="TimesNewRoman" w:hAnsi="TimesNewRoman" w:eastAsia="TimesNewRoman" w:cs="TimesNewRoman"/>
              </w:rPr>
              <w:t xml:space="preserve">1.</w:t>
            </w:r>
            <w:bookmarkEnd w:id="4"/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742" w:type="dxa"/>
            <w:textDirection w:val="lrTb"/>
            <w:noWrap w:val="false"/>
          </w:tcPr>
          <w:p>
            <w:pPr>
              <w:pStyle w:val="852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Задача «Осуществление административно-хозяйственного, материально-технического обеспечения деятельности министерства здравоохранения Белгородской области»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1.1.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pStyle w:val="852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Мероприятие (результат) «Обеспечена деятельность министерства здравоохранения Белгородской области»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Х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7" w:type="dxa"/>
            <w:textDirection w:val="lrTb"/>
            <w:noWrap w:val="false"/>
          </w:tcPr>
          <w:p>
            <w:pPr>
              <w:pStyle w:val="851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Собакина Валерия Анатольевна, заместитель начальника департамента бюджетных отношений и закупок - главный бухгалтер министерства здравоохранения Белгородс</w:t>
            </w:r>
            <w:r>
              <w:rPr>
                <w:rFonts w:ascii="TimesNewRoman" w:hAnsi="TimesNewRoman" w:eastAsia="TimesNewRoman" w:cs="TimesNewRoman"/>
              </w:rPr>
              <w:t xml:space="preserve">кой области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69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Отчёт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1.2.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pStyle w:val="852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Мероприятие (результат) «Осуществлены переданные органам государственной власти субъектов Российской Федерации в соответствии с </w:t>
            </w:r>
            <w:hyperlink r:id="rId14" w:tooltip="http://garant.belregion.ru/document/redirect/12191967/151" w:history="1">
              <w:r>
                <w:rPr>
                  <w:rFonts w:ascii="TimesNewRoman" w:hAnsi="TimesNewRoman" w:eastAsia="TimesNewRoman" w:cs="TimesNewRoman"/>
                  <w:color w:val="106bbe"/>
                </w:rPr>
                <w:t xml:space="preserve">частью 1 статьи 15</w:t>
              </w:r>
            </w:hyperlink>
            <w:r>
              <w:rPr>
                <w:rFonts w:ascii="TimesNewRoman" w:hAnsi="TimesNewRoman" w:eastAsia="TimesNewRoman" w:cs="TimesNewRoman"/>
              </w:rPr>
              <w:t xml:space="preserve"> Федераль</w:t>
            </w:r>
            <w:r>
              <w:rPr>
                <w:rFonts w:ascii="TimesNewRoman" w:hAnsi="TimesNewRoman" w:eastAsia="TimesNewRoman" w:cs="TimesNewRoman"/>
              </w:rPr>
              <w:t xml:space="preserve">ного закона от 21 ноября 2011 года N 323-ФЗ «Об основах охраны здоровья граждан в Российской Федерации» полномочия Российской Федерации в сфере охраны здоровья»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Х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7" w:type="dxa"/>
            <w:textDirection w:val="lrTb"/>
            <w:noWrap w:val="false"/>
          </w:tcPr>
          <w:p>
            <w:pPr>
              <w:pStyle w:val="851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Собакина Валерия Анатольевна, заместитель начальника департамента бюджетных отношений и закуп</w:t>
            </w:r>
            <w:r>
              <w:rPr>
                <w:rFonts w:ascii="TimesNewRoman" w:hAnsi="TimesNewRoman" w:eastAsia="TimesNewRoman" w:cs="TimesNewRoman"/>
              </w:rPr>
              <w:t xml:space="preserve">ок - главный бухгалтер министерства здравоохранения Белгородской области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69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Отчёт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/>
            <w:bookmarkStart w:id="5" w:name="sub_1024413"/>
            <w:r>
              <w:rPr>
                <w:rFonts w:ascii="TimesNewRoman" w:hAnsi="TimesNewRoman" w:eastAsia="TimesNewRoman" w:cs="TimesNewRoman"/>
              </w:rPr>
              <w:t xml:space="preserve">1.3.</w:t>
            </w:r>
            <w:bookmarkEnd w:id="5"/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pStyle w:val="852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Мероприятие (результат) «Обеспечено выполнение финансирования иных обязательств»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Х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7" w:type="dxa"/>
            <w:textDirection w:val="lrTb"/>
            <w:noWrap w:val="false"/>
          </w:tcPr>
          <w:p>
            <w:pPr>
              <w:pStyle w:val="851"/>
              <w:ind w:firstLine="0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Собакина Валерия Анатольевна, заместитель начальника департамента - начальник отдела бух</w:t>
            </w:r>
            <w:r>
              <w:rPr>
                <w:rFonts w:ascii="TimesNewRoman" w:hAnsi="TimesNewRoman" w:eastAsia="TimesNewRoman" w:cs="TimesNewRoman"/>
              </w:rPr>
              <w:t xml:space="preserve">галтерского учёта департамента бюджетных отношений и закупок министерства здравоохранения Белгородской области - главный бухгалтер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69" w:type="dxa"/>
            <w:textDirection w:val="lrTb"/>
            <w:noWrap w:val="false"/>
          </w:tcPr>
          <w:p>
            <w:pPr>
              <w:pStyle w:val="851"/>
              <w:ind w:firstLine="0"/>
              <w:jc w:val="center"/>
              <w:rPr>
                <w:rFonts w:ascii="TimesNewRoman" w:hAnsi="TimesNewRoman" w:eastAsia="TimesNewRoman" w:cs="TimesNewRoman"/>
              </w:rPr>
            </w:pPr>
            <w:r>
              <w:rPr>
                <w:rFonts w:ascii="TimesNewRoman" w:hAnsi="TimesNewRoman" w:eastAsia="TimesNewRoman" w:cs="TimesNewRoman"/>
              </w:rPr>
              <w:t xml:space="preserve">Отчёт</w:t>
            </w:r>
            <w:r>
              <w:rPr>
                <w:rFonts w:ascii="TimesNewRoman" w:hAnsi="TimesNewRoman" w:eastAsia="TimesNewRoman" w:cs="TimesNewRoman"/>
              </w:rPr>
            </w:r>
            <w:r>
              <w:rPr>
                <w:rFonts w:ascii="TimesNewRoman" w:hAnsi="TimesNewRoman" w:eastAsia="TimesNewRoman" w:cs="TimesNewRoman"/>
              </w:rPr>
            </w:r>
          </w:p>
        </w:tc>
      </w:tr>
    </w:tbl>
    <w:p>
      <w:r/>
      <w:r/>
    </w:p>
    <w:p>
      <w:r/>
      <w:r/>
    </w:p>
    <w:p>
      <w:r/>
      <w:r/>
    </w:p>
    <w:p>
      <w:r/>
      <w:r/>
    </w:p>
    <w:p>
      <w:r/>
      <w:r/>
    </w:p>
    <w:sectPr>
      <w:footerReference w:type="default" r:id="rId9"/>
      <w:footnotePr/>
      <w:endnotePr/>
      <w:type w:val="nextPage"/>
      <w:pgSz w:w="16800" w:h="11900" w:orient="landscape"/>
      <w:pgMar w:top="800" w:right="1440" w:bottom="800" w:left="1440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imesNewRoman">
    <w:panose1 w:val="02000603000000000000"/>
  </w:font>
  <w:font w:name="CalibriLight">
    <w:panose1 w:val="02000603000000000000"/>
  </w:font>
  <w:font w:name="Arial">
    <w:panose1 w:val="020B0604020202020204"/>
  </w:font>
  <w:font w:name="TimesNewRomanCYR">
    <w:panose1 w:val="02000603000000000000"/>
  </w:font>
  <w:font w:name="SegoeUI">
    <w:panose1 w:val="02000603000000000000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hanging="360"/>
      </w:pPr>
    </w:lvl>
    <w:lvl w:ilvl="1">
      <w:start w:val="1"/>
      <w:numFmt w:val="decimal"/>
      <w:isLgl w:val="false"/>
      <w:suff w:val="tab"/>
      <w:lvlText w:val="o"/>
      <w:lvlJc w:val="left"/>
      <w:pPr>
        <w:ind w:left="0"/>
      </w:pPr>
    </w:lvl>
    <w:lvl w:ilvl="2">
      <w:start w:val="1"/>
      <w:numFmt w:val="decimal"/>
      <w:isLgl w:val="false"/>
      <w:suff w:val="tab"/>
      <w:lvlText w:val="§"/>
      <w:lvlJc w:val="left"/>
      <w:pPr>
        <w:ind w:left="0"/>
      </w:pPr>
    </w:lvl>
    <w:lvl w:ilvl="3">
      <w:start w:val="1"/>
      <w:numFmt w:val="decimal"/>
      <w:isLgl w:val="false"/>
      <w:suff w:val="tab"/>
      <w:lvlText w:val="·"/>
      <w:lvlJc w:val="left"/>
      <w:pPr>
        <w:ind w:left="0"/>
      </w:pPr>
    </w:lvl>
    <w:lvl w:ilvl="4">
      <w:start w:val="1"/>
      <w:numFmt w:val="decimal"/>
      <w:isLgl w:val="false"/>
      <w:suff w:val="tab"/>
      <w:lvlText w:val="o"/>
      <w:lvlJc w:val="left"/>
      <w:pPr>
        <w:ind w:left="0"/>
      </w:pPr>
    </w:lvl>
    <w:lvl w:ilvl="5">
      <w:start w:val="1"/>
      <w:numFmt w:val="decimal"/>
      <w:isLgl w:val="false"/>
      <w:suff w:val="tab"/>
      <w:lvlText w:val="§"/>
      <w:lvlJc w:val="left"/>
      <w:pPr>
        <w:ind w:left="0"/>
      </w:pPr>
    </w:lvl>
    <w:lvl w:ilvl="6">
      <w:start w:val="1"/>
      <w:numFmt w:val="decimal"/>
      <w:isLgl w:val="false"/>
      <w:suff w:val="tab"/>
      <w:lvlText w:val="·"/>
      <w:lvlJc w:val="left"/>
      <w:pPr>
        <w:ind w:left="0"/>
      </w:pPr>
    </w:lvl>
    <w:lvl w:ilvl="7">
      <w:start w:val="1"/>
      <w:numFmt w:val="decimal"/>
      <w:isLgl w:val="false"/>
      <w:suff w:val="tab"/>
      <w:lvlText w:val="o"/>
      <w:lvlJc w:val="left"/>
      <w:pPr>
        <w:ind w:left="0"/>
      </w:pPr>
    </w:lvl>
    <w:lvl w:ilvl="8">
      <w:start w:val="1"/>
      <w:numFmt w:val="decimal"/>
      <w:isLgl w:val="false"/>
      <w:suff w:val="tab"/>
      <w:lvlText w:val="§"/>
      <w:lvlJc w:val="left"/>
      <w:pPr>
        <w:ind w:left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sect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Calibri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6" w:default="1">
    <w:name w:val="Normal"/>
    <w:qFormat/>
    <w:pPr>
      <w:ind w:firstLine="720"/>
      <w:jc w:val="both"/>
    </w:pPr>
    <w:rPr>
      <w:rFonts w:ascii="TimesNewRomanCYR" w:hAnsi="TimesNewRomanCYR" w:eastAsia="TimesNewRomanCYR" w:cs="TimesNewRomanCYR"/>
      <w:sz w:val="24"/>
    </w:rPr>
  </w:style>
  <w:style w:type="paragraph" w:styleId="667">
    <w:name w:val="Heading 1"/>
    <w:basedOn w:val="666"/>
    <w:qFormat/>
    <w:pPr>
      <w:jc w:val="center"/>
      <w:spacing w:before="108" w:after="108"/>
      <w:outlineLvl w:val="0"/>
    </w:pPr>
    <w:rPr>
      <w:b/>
      <w:color w:val="26282f"/>
    </w:rPr>
  </w:style>
  <w:style w:type="paragraph" w:styleId="668">
    <w:name w:val="Heading 2"/>
    <w:basedOn w:val="666"/>
    <w:unhideWhenUsed/>
    <w:qFormat/>
    <w:pPr>
      <w:jc w:val="left"/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69">
    <w:name w:val="Heading 3"/>
    <w:basedOn w:val="666"/>
    <w:unhideWhenUsed/>
    <w:qFormat/>
    <w:pPr>
      <w:jc w:val="left"/>
      <w:keepLines/>
      <w:keepNext/>
      <w:spacing w:before="320" w:after="200"/>
      <w:outlineLvl w:val="2"/>
    </w:pPr>
    <w:rPr>
      <w:rFonts w:ascii="Arial" w:hAnsi="Arial" w:eastAsia="Arial" w:cs="Arial"/>
      <w:sz w:val="30"/>
    </w:rPr>
  </w:style>
  <w:style w:type="paragraph" w:styleId="670">
    <w:name w:val="Heading 4"/>
    <w:basedOn w:val="666"/>
    <w:unhideWhenUsed/>
    <w:qFormat/>
    <w:pPr>
      <w:jc w:val="left"/>
      <w:keepLines/>
      <w:keepNext/>
      <w:spacing w:before="320" w:after="200"/>
      <w:outlineLvl w:val="3"/>
    </w:pPr>
    <w:rPr>
      <w:rFonts w:ascii="Arial" w:hAnsi="Arial" w:eastAsia="Arial" w:cs="Arial"/>
      <w:b/>
      <w:sz w:val="26"/>
    </w:rPr>
  </w:style>
  <w:style w:type="paragraph" w:styleId="671">
    <w:name w:val="Heading 5"/>
    <w:basedOn w:val="666"/>
    <w:unhideWhenUsed/>
    <w:qFormat/>
    <w:pPr>
      <w:jc w:val="left"/>
      <w:keepLines/>
      <w:keepNext/>
      <w:spacing w:before="320" w:after="200"/>
      <w:outlineLvl w:val="4"/>
    </w:pPr>
    <w:rPr>
      <w:rFonts w:ascii="Arial" w:hAnsi="Arial" w:eastAsia="Arial" w:cs="Arial"/>
      <w:b/>
    </w:rPr>
  </w:style>
  <w:style w:type="paragraph" w:styleId="672">
    <w:name w:val="Heading 6"/>
    <w:basedOn w:val="666"/>
    <w:unhideWhenUsed/>
    <w:qFormat/>
    <w:pPr>
      <w:jc w:val="left"/>
      <w:keepLines/>
      <w:keepNext/>
      <w:spacing w:before="320" w:after="200"/>
      <w:outlineLvl w:val="5"/>
    </w:pPr>
    <w:rPr>
      <w:rFonts w:ascii="Arial" w:hAnsi="Arial" w:eastAsia="Arial" w:cs="Arial"/>
      <w:b/>
      <w:sz w:val="22"/>
    </w:rPr>
  </w:style>
  <w:style w:type="paragraph" w:styleId="673">
    <w:name w:val="Heading 7"/>
    <w:basedOn w:val="666"/>
    <w:unhideWhenUsed/>
    <w:qFormat/>
    <w:pPr>
      <w:jc w:val="left"/>
      <w:keepLines/>
      <w:keepNext/>
      <w:spacing w:before="320" w:after="200"/>
      <w:outlineLvl w:val="6"/>
    </w:pPr>
    <w:rPr>
      <w:rFonts w:ascii="Arial" w:hAnsi="Arial" w:eastAsia="Arial" w:cs="Arial"/>
      <w:b/>
      <w:i/>
      <w:sz w:val="22"/>
    </w:rPr>
  </w:style>
  <w:style w:type="paragraph" w:styleId="674">
    <w:name w:val="Heading 8"/>
    <w:basedOn w:val="666"/>
    <w:unhideWhenUsed/>
    <w:qFormat/>
    <w:pPr>
      <w:jc w:val="left"/>
      <w:keepLines/>
      <w:keepNext/>
      <w:spacing w:before="320" w:after="200"/>
      <w:outlineLvl w:val="7"/>
    </w:pPr>
    <w:rPr>
      <w:rFonts w:ascii="Arial" w:hAnsi="Arial" w:eastAsia="Arial" w:cs="Arial"/>
      <w:i/>
      <w:sz w:val="22"/>
    </w:rPr>
  </w:style>
  <w:style w:type="paragraph" w:styleId="675">
    <w:name w:val="Heading 9"/>
    <w:basedOn w:val="666"/>
    <w:unhideWhenUsed/>
    <w:qFormat/>
    <w:pPr>
      <w:jc w:val="left"/>
      <w:keepLines/>
      <w:keepNext/>
      <w:spacing w:before="320" w:after="200"/>
      <w:outlineLvl w:val="8"/>
    </w:pPr>
    <w:rPr>
      <w:rFonts w:ascii="Arial" w:hAnsi="Arial" w:eastAsia="Arial" w:cs="Arial"/>
      <w:i/>
      <w:sz w:val="21"/>
    </w:rPr>
  </w:style>
  <w:style w:type="character" w:styleId="676" w:default="1">
    <w:name w:val="Default Paragraph Font"/>
    <w:uiPriority w:val="1"/>
    <w:semiHidden/>
    <w:unhideWhenUsed/>
  </w:style>
  <w:style w:type="table" w:styleId="67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78" w:default="1">
    <w:name w:val="No List"/>
    <w:uiPriority w:val="99"/>
    <w:semiHidden/>
    <w:unhideWhenUsed/>
  </w:style>
  <w:style w:type="character" w:styleId="679" w:customStyle="1">
    <w:name w:val="Heading 1 Char"/>
    <w:rPr>
      <w:rFonts w:ascii="Arial" w:hAnsi="Arial" w:eastAsia="Arial" w:cs="Arial"/>
      <w:sz w:val="40"/>
    </w:rPr>
  </w:style>
  <w:style w:type="character" w:styleId="680" w:customStyle="1">
    <w:name w:val="Heading 2 Char"/>
    <w:rPr>
      <w:rFonts w:ascii="Arial" w:hAnsi="Arial" w:eastAsia="Arial" w:cs="Arial"/>
      <w:sz w:val="34"/>
    </w:rPr>
  </w:style>
  <w:style w:type="character" w:styleId="681" w:customStyle="1">
    <w:name w:val="Heading 3 Char"/>
    <w:rPr>
      <w:rFonts w:ascii="Arial" w:hAnsi="Arial" w:eastAsia="Arial" w:cs="Arial"/>
      <w:sz w:val="30"/>
    </w:rPr>
  </w:style>
  <w:style w:type="character" w:styleId="682" w:customStyle="1">
    <w:name w:val="Heading 4 Char"/>
    <w:rPr>
      <w:rFonts w:ascii="Arial" w:hAnsi="Arial" w:eastAsia="Arial" w:cs="Arial"/>
      <w:b/>
      <w:sz w:val="26"/>
    </w:rPr>
  </w:style>
  <w:style w:type="character" w:styleId="683" w:customStyle="1">
    <w:name w:val="Heading 5 Char"/>
    <w:rPr>
      <w:rFonts w:ascii="Arial" w:hAnsi="Arial" w:eastAsia="Arial" w:cs="Arial"/>
      <w:b/>
      <w:sz w:val="24"/>
    </w:rPr>
  </w:style>
  <w:style w:type="character" w:styleId="684" w:customStyle="1">
    <w:name w:val="Heading 6 Char"/>
    <w:rPr>
      <w:rFonts w:ascii="Arial" w:hAnsi="Arial" w:eastAsia="Arial" w:cs="Arial"/>
      <w:b/>
      <w:sz w:val="22"/>
    </w:rPr>
  </w:style>
  <w:style w:type="character" w:styleId="685" w:customStyle="1">
    <w:name w:val="Heading 7 Char"/>
    <w:rPr>
      <w:rFonts w:ascii="Arial" w:hAnsi="Arial" w:eastAsia="Arial" w:cs="Arial"/>
      <w:b/>
      <w:i/>
      <w:sz w:val="22"/>
    </w:rPr>
  </w:style>
  <w:style w:type="character" w:styleId="686" w:customStyle="1">
    <w:name w:val="Heading 8 Char"/>
    <w:rPr>
      <w:rFonts w:ascii="Arial" w:hAnsi="Arial" w:eastAsia="Arial" w:cs="Arial"/>
      <w:i/>
      <w:sz w:val="22"/>
    </w:rPr>
  </w:style>
  <w:style w:type="character" w:styleId="687" w:customStyle="1">
    <w:name w:val="Heading 9 Char"/>
    <w:rPr>
      <w:rFonts w:ascii="Arial" w:hAnsi="Arial" w:eastAsia="Arial" w:cs="Arial"/>
      <w:i/>
      <w:sz w:val="21"/>
    </w:rPr>
  </w:style>
  <w:style w:type="paragraph" w:styleId="688">
    <w:name w:val="List Paragraph"/>
    <w:basedOn w:val="666"/>
    <w:qFormat/>
    <w:pPr>
      <w:contextualSpacing/>
      <w:ind w:left="720"/>
      <w:jc w:val="left"/>
    </w:pPr>
    <w:rPr>
      <w:rFonts w:ascii="Calibri" w:hAnsi="Calibri" w:eastAsia="Calibri" w:cs="Calibri"/>
    </w:rPr>
  </w:style>
  <w:style w:type="paragraph" w:styleId="689">
    <w:name w:val="No Spacing"/>
    <w:qFormat/>
    <w:rPr>
      <w:sz w:val="24"/>
    </w:rPr>
  </w:style>
  <w:style w:type="paragraph" w:styleId="690">
    <w:name w:val="Title"/>
    <w:basedOn w:val="666"/>
    <w:qFormat/>
    <w:pPr>
      <w:contextualSpacing/>
      <w:jc w:val="left"/>
      <w:spacing w:before="300" w:after="200"/>
    </w:pPr>
    <w:rPr>
      <w:rFonts w:ascii="Calibri" w:hAnsi="Calibri" w:eastAsia="Calibri" w:cs="Calibri"/>
      <w:sz w:val="48"/>
    </w:rPr>
  </w:style>
  <w:style w:type="character" w:styleId="691" w:customStyle="1">
    <w:name w:val="Title Char"/>
    <w:rPr>
      <w:rFonts w:ascii="Calibri" w:hAnsi="Calibri" w:eastAsia="Calibri" w:cs="Calibri"/>
      <w:sz w:val="48"/>
    </w:rPr>
  </w:style>
  <w:style w:type="paragraph" w:styleId="692">
    <w:name w:val="Subtitle"/>
    <w:basedOn w:val="666"/>
    <w:qFormat/>
    <w:pPr>
      <w:jc w:val="left"/>
      <w:spacing w:before="200" w:after="200"/>
    </w:pPr>
    <w:rPr>
      <w:rFonts w:ascii="Calibri" w:hAnsi="Calibri" w:eastAsia="Calibri" w:cs="Calibri"/>
    </w:rPr>
  </w:style>
  <w:style w:type="character" w:styleId="693" w:customStyle="1">
    <w:name w:val="Subtitle Char"/>
    <w:rPr>
      <w:rFonts w:ascii="Calibri" w:hAnsi="Calibri" w:eastAsia="Calibri" w:cs="Calibri"/>
      <w:sz w:val="24"/>
    </w:rPr>
  </w:style>
  <w:style w:type="paragraph" w:styleId="694">
    <w:name w:val="Quote"/>
    <w:basedOn w:val="666"/>
    <w:qFormat/>
    <w:pPr>
      <w:ind w:left="720"/>
      <w:jc w:val="left"/>
    </w:pPr>
    <w:rPr>
      <w:rFonts w:ascii="Calibri" w:hAnsi="Calibri" w:eastAsia="Calibri" w:cs="Calibri"/>
      <w:i/>
    </w:rPr>
  </w:style>
  <w:style w:type="character" w:styleId="695" w:customStyle="1">
    <w:name w:val="Quote Char"/>
    <w:rPr>
      <w:rFonts w:ascii="Calibri" w:hAnsi="Calibri" w:eastAsia="Calibri" w:cs="Calibri"/>
      <w:i/>
      <w:sz w:val="24"/>
    </w:rPr>
  </w:style>
  <w:style w:type="paragraph" w:styleId="696">
    <w:name w:val="Intense Quote"/>
    <w:basedOn w:val="666"/>
    <w:qFormat/>
    <w:pPr>
      <w:ind w:left="720"/>
      <w:jc w:val="left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rFonts w:ascii="Calibri" w:hAnsi="Calibri" w:eastAsia="Calibri" w:cs="Calibri"/>
      <w:i/>
    </w:rPr>
  </w:style>
  <w:style w:type="character" w:styleId="697" w:customStyle="1">
    <w:name w:val="Intense Quote Char"/>
    <w:rPr>
      <w:rFonts w:ascii="Calibri" w:hAnsi="Calibri" w:eastAsia="Calibri" w:cs="Calibri"/>
      <w:i/>
      <w:sz w:val="24"/>
    </w:rPr>
  </w:style>
  <w:style w:type="character" w:styleId="698" w:customStyle="1">
    <w:name w:val="Header Char"/>
    <w:rPr>
      <w:rFonts w:ascii="Calibri" w:hAnsi="Calibri" w:eastAsia="Calibri" w:cs="Calibri"/>
      <w:sz w:val="24"/>
    </w:rPr>
  </w:style>
  <w:style w:type="character" w:styleId="699" w:customStyle="1">
    <w:name w:val="Footer Char"/>
    <w:rPr>
      <w:rFonts w:ascii="Calibri" w:hAnsi="Calibri" w:eastAsia="Calibri" w:cs="Calibri"/>
      <w:sz w:val="24"/>
    </w:rPr>
  </w:style>
  <w:style w:type="paragraph" w:styleId="700">
    <w:name w:val="Caption"/>
    <w:basedOn w:val="666"/>
    <w:link w:val="701"/>
    <w:semiHidden/>
    <w:unhideWhenUsed/>
    <w:qFormat/>
    <w:pPr>
      <w:jc w:val="left"/>
      <w:spacing w:line="276" w:lineRule="auto"/>
    </w:pPr>
    <w:rPr>
      <w:rFonts w:ascii="Calibri" w:hAnsi="Calibri" w:eastAsia="Calibri" w:cs="Calibri"/>
      <w:b/>
      <w:color w:val="4f81bd"/>
      <w:sz w:val="18"/>
    </w:rPr>
  </w:style>
  <w:style w:type="character" w:styleId="701" w:customStyle="1">
    <w:name w:val="Caption Char"/>
    <w:rPr>
      <w:rFonts w:ascii="Calibri" w:hAnsi="Calibri" w:eastAsia="Calibri" w:cs="Calibri"/>
      <w:b/>
      <w:color w:val="4f81bd"/>
      <w:sz w:val="18"/>
    </w:rPr>
  </w:style>
  <w:style w:type="table" w:styleId="702" w:customStyle="1">
    <w:name w:val="Table Grid Light"/>
    <w:basedOn w:val="677"/>
    <w:rPr>
      <w:sz w:val="24"/>
    </w:rPr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</w:tblPr>
  </w:style>
  <w:style w:type="table" w:styleId="703">
    <w:name w:val="Plain Table 1"/>
    <w:basedOn w:val="677"/>
    <w:rPr>
      <w:sz w:val="24"/>
    </w:rPr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</w:tblPr>
  </w:style>
  <w:style w:type="table" w:styleId="704">
    <w:name w:val="Plain Table 2"/>
    <w:basedOn w:val="677"/>
    <w:rPr>
      <w:sz w:val="24"/>
    </w:rPr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tblBorders>
    </w:tblPr>
  </w:style>
  <w:style w:type="table" w:styleId="705">
    <w:name w:val="Plain Table 3"/>
    <w:basedOn w:val="677"/>
    <w:rPr>
      <w:sz w:val="24"/>
    </w:rPr>
    <w:tblPr>
      <w:tblCellMar>
        <w:left w:w="0" w:type="dxa"/>
        <w:right w:w="0" w:type="dxa"/>
      </w:tblCellMar>
    </w:tblPr>
  </w:style>
  <w:style w:type="table" w:styleId="706">
    <w:name w:val="Plain Table 4"/>
    <w:basedOn w:val="677"/>
    <w:rPr>
      <w:sz w:val="24"/>
    </w:rPr>
    <w:tblPr>
      <w:tblCellMar>
        <w:left w:w="0" w:type="dxa"/>
        <w:right w:w="0" w:type="dxa"/>
      </w:tblCellMar>
    </w:tblPr>
  </w:style>
  <w:style w:type="table" w:styleId="707">
    <w:name w:val="Plain Table 5"/>
    <w:basedOn w:val="677"/>
    <w:rPr>
      <w:sz w:val="24"/>
    </w:rPr>
    <w:tblPr>
      <w:tblCellMar>
        <w:left w:w="0" w:type="dxa"/>
        <w:right w:w="0" w:type="dxa"/>
      </w:tblCellMar>
    </w:tblPr>
  </w:style>
  <w:style w:type="table" w:styleId="708">
    <w:name w:val="Grid Table 1 Light"/>
    <w:basedOn w:val="677"/>
    <w:rPr>
      <w:sz w:val="24"/>
    </w:rPr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709" w:customStyle="1">
    <w:name w:val="Grid Table 1 Light - Accent 1"/>
    <w:basedOn w:val="677"/>
    <w:rPr>
      <w:sz w:val="24"/>
    </w:rPr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710" w:customStyle="1">
    <w:name w:val="Grid Table 1 Light - Accent 2"/>
    <w:basedOn w:val="677"/>
    <w:rPr>
      <w:sz w:val="24"/>
    </w:rPr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711" w:customStyle="1">
    <w:name w:val="Grid Table 1 Light - Accent 3"/>
    <w:basedOn w:val="677"/>
    <w:rPr>
      <w:sz w:val="24"/>
    </w:rPr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712" w:customStyle="1">
    <w:name w:val="Grid Table 1 Light - Accent 4"/>
    <w:basedOn w:val="677"/>
    <w:rPr>
      <w:sz w:val="24"/>
    </w:rPr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713" w:customStyle="1">
    <w:name w:val="Grid Table 1 Light - Accent 5"/>
    <w:basedOn w:val="677"/>
    <w:rPr>
      <w:sz w:val="24"/>
    </w:rPr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714" w:customStyle="1">
    <w:name w:val="Grid Table 1 Light - Accent 6"/>
    <w:basedOn w:val="677"/>
    <w:rPr>
      <w:sz w:val="24"/>
    </w:rPr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715">
    <w:name w:val="Grid Table 2"/>
    <w:basedOn w:val="677"/>
    <w:rPr>
      <w:sz w:val="24"/>
    </w:rPr>
    <w:tblPr>
      <w:tblBorders>
        <w:bottom w:val="none" w:color="000000" w:sz="4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716" w:customStyle="1">
    <w:name w:val="Grid Table 2 - Accent 1"/>
    <w:basedOn w:val="677"/>
    <w:rPr>
      <w:sz w:val="24"/>
    </w:rPr>
    <w:tblPr>
      <w:tblBorders>
        <w:bottom w:val="none" w:color="000000" w:sz="4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717" w:customStyle="1">
    <w:name w:val="Grid Table 2 - Accent 2"/>
    <w:basedOn w:val="677"/>
    <w:rPr>
      <w:sz w:val="24"/>
    </w:rPr>
    <w:tblPr>
      <w:tblBorders>
        <w:bottom w:val="none" w:color="000000" w:sz="4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718" w:customStyle="1">
    <w:name w:val="Grid Table 2 - Accent 3"/>
    <w:basedOn w:val="677"/>
    <w:rPr>
      <w:sz w:val="24"/>
    </w:rPr>
    <w:tblPr>
      <w:tblBorders>
        <w:bottom w:val="none" w:color="000000" w:sz="4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719" w:customStyle="1">
    <w:name w:val="Grid Table 2 - Accent 4"/>
    <w:basedOn w:val="677"/>
    <w:rPr>
      <w:sz w:val="24"/>
    </w:rPr>
    <w:tblPr>
      <w:tblBorders>
        <w:bottom w:val="none" w:color="000000" w:sz="4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720" w:customStyle="1">
    <w:name w:val="Grid Table 2 - Accent 5"/>
    <w:basedOn w:val="677"/>
    <w:rPr>
      <w:sz w:val="24"/>
    </w:rPr>
    <w:tblPr>
      <w:tblBorders>
        <w:bottom w:val="none" w:color="000000" w:sz="4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721" w:customStyle="1">
    <w:name w:val="Grid Table 2 - Accent 6"/>
    <w:basedOn w:val="677"/>
    <w:rPr>
      <w:sz w:val="24"/>
    </w:rPr>
    <w:tblPr>
      <w:tblBorders>
        <w:bottom w:val="none" w:color="000000" w:sz="4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722">
    <w:name w:val="Grid Table 3"/>
    <w:basedOn w:val="677"/>
    <w:rPr>
      <w:sz w:val="24"/>
    </w:rPr>
    <w:tblPr>
      <w:tblBorders>
        <w:bottom w:val="none" w:color="000000" w:sz="4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723" w:customStyle="1">
    <w:name w:val="Grid Table 3 - Accent 1"/>
    <w:basedOn w:val="677"/>
    <w:rPr>
      <w:sz w:val="24"/>
    </w:rPr>
    <w:tblPr>
      <w:tblBorders>
        <w:bottom w:val="none" w:color="000000" w:sz="4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724" w:customStyle="1">
    <w:name w:val="Grid Table 3 - Accent 2"/>
    <w:basedOn w:val="677"/>
    <w:rPr>
      <w:sz w:val="24"/>
    </w:rPr>
    <w:tblPr>
      <w:tblBorders>
        <w:bottom w:val="none" w:color="000000" w:sz="4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725" w:customStyle="1">
    <w:name w:val="Grid Table 3 - Accent 3"/>
    <w:basedOn w:val="677"/>
    <w:rPr>
      <w:sz w:val="24"/>
    </w:rPr>
    <w:tblPr>
      <w:tblBorders>
        <w:bottom w:val="none" w:color="000000" w:sz="4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726" w:customStyle="1">
    <w:name w:val="Grid Table 3 - Accent 4"/>
    <w:basedOn w:val="677"/>
    <w:rPr>
      <w:sz w:val="24"/>
    </w:rPr>
    <w:tblPr>
      <w:tblBorders>
        <w:bottom w:val="none" w:color="000000" w:sz="4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727" w:customStyle="1">
    <w:name w:val="Grid Table 3 - Accent 5"/>
    <w:basedOn w:val="677"/>
    <w:rPr>
      <w:sz w:val="24"/>
    </w:rPr>
    <w:tblPr>
      <w:tblBorders>
        <w:bottom w:val="none" w:color="000000" w:sz="4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728" w:customStyle="1">
    <w:name w:val="Grid Table 3 - Accent 6"/>
    <w:basedOn w:val="677"/>
    <w:rPr>
      <w:sz w:val="24"/>
    </w:rPr>
    <w:tblPr>
      <w:tblBorders>
        <w:bottom w:val="none" w:color="000000" w:sz="4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729">
    <w:name w:val="Grid Table 4"/>
    <w:basedOn w:val="677"/>
    <w:rPr>
      <w:sz w:val="24"/>
    </w:rPr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730" w:customStyle="1">
    <w:name w:val="Grid Table 4 - Accent 1"/>
    <w:basedOn w:val="677"/>
    <w:rPr>
      <w:sz w:val="24"/>
    </w:rPr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731" w:customStyle="1">
    <w:name w:val="Grid Table 4 - Accent 2"/>
    <w:basedOn w:val="677"/>
    <w:rPr>
      <w:sz w:val="24"/>
    </w:rPr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732" w:customStyle="1">
    <w:name w:val="Grid Table 4 - Accent 3"/>
    <w:basedOn w:val="677"/>
    <w:rPr>
      <w:sz w:val="24"/>
    </w:rPr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733" w:customStyle="1">
    <w:name w:val="Grid Table 4 - Accent 4"/>
    <w:basedOn w:val="677"/>
    <w:rPr>
      <w:sz w:val="24"/>
    </w:rPr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734" w:customStyle="1">
    <w:name w:val="Grid Table 4 - Accent 5"/>
    <w:basedOn w:val="677"/>
    <w:rPr>
      <w:sz w:val="24"/>
    </w:rPr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735" w:customStyle="1">
    <w:name w:val="Grid Table 4 - Accent 6"/>
    <w:basedOn w:val="677"/>
    <w:rPr>
      <w:sz w:val="24"/>
    </w:rPr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736">
    <w:name w:val="Grid Table 5 Dark"/>
    <w:basedOn w:val="677"/>
    <w:rPr>
      <w:sz w:val="24"/>
    </w:rPr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shd w:val="clear" w:color="ffffff" w:fill="bfbfbf"/>
      <w:tblCellMar>
        <w:left w:w="0" w:type="dxa"/>
        <w:right w:w="0" w:type="dxa"/>
      </w:tblCellMar>
    </w:tblPr>
  </w:style>
  <w:style w:type="table" w:styleId="737" w:customStyle="1">
    <w:name w:val="Grid Table 5 Dark- Accent 1"/>
    <w:basedOn w:val="677"/>
    <w:rPr>
      <w:sz w:val="24"/>
    </w:rPr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shd w:val="clear" w:color="ffffff" w:fill="ddebf6"/>
      <w:tblCellMar>
        <w:left w:w="0" w:type="dxa"/>
        <w:right w:w="0" w:type="dxa"/>
      </w:tblCellMar>
    </w:tblPr>
  </w:style>
  <w:style w:type="table" w:styleId="738" w:customStyle="1">
    <w:name w:val="Grid Table 5 Dark - Accent 2"/>
    <w:basedOn w:val="677"/>
    <w:rPr>
      <w:sz w:val="24"/>
    </w:rPr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shd w:val="clear" w:color="ffffff" w:fill="fbe5d6"/>
      <w:tblCellMar>
        <w:left w:w="0" w:type="dxa"/>
        <w:right w:w="0" w:type="dxa"/>
      </w:tblCellMar>
    </w:tblPr>
  </w:style>
  <w:style w:type="table" w:styleId="739" w:customStyle="1">
    <w:name w:val="Grid Table 5 Dark - Accent 3"/>
    <w:basedOn w:val="677"/>
    <w:rPr>
      <w:sz w:val="24"/>
    </w:rPr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shd w:val="clear" w:color="ffffff" w:fill="ededed"/>
      <w:tblCellMar>
        <w:left w:w="0" w:type="dxa"/>
        <w:right w:w="0" w:type="dxa"/>
      </w:tblCellMar>
    </w:tblPr>
  </w:style>
  <w:style w:type="table" w:styleId="740" w:customStyle="1">
    <w:name w:val="Grid Table 5 Dark- Accent 4"/>
    <w:basedOn w:val="677"/>
    <w:rPr>
      <w:sz w:val="24"/>
    </w:rPr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shd w:val="clear" w:color="ffffff" w:fill="fef2cb"/>
      <w:tblCellMar>
        <w:left w:w="0" w:type="dxa"/>
        <w:right w:w="0" w:type="dxa"/>
      </w:tblCellMar>
    </w:tblPr>
  </w:style>
  <w:style w:type="table" w:styleId="741" w:customStyle="1">
    <w:name w:val="Grid Table 5 Dark - Accent 5"/>
    <w:basedOn w:val="677"/>
    <w:rPr>
      <w:sz w:val="24"/>
    </w:rPr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shd w:val="clear" w:color="ffffff" w:fill="d9e2f2"/>
      <w:tblCellMar>
        <w:left w:w="0" w:type="dxa"/>
        <w:right w:w="0" w:type="dxa"/>
      </w:tblCellMar>
    </w:tblPr>
  </w:style>
  <w:style w:type="table" w:styleId="742" w:customStyle="1">
    <w:name w:val="Grid Table 5 Dark - Accent 6"/>
    <w:basedOn w:val="677"/>
    <w:rPr>
      <w:sz w:val="24"/>
    </w:rPr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shd w:val="clear" w:color="ffffff" w:fill="e2efd8"/>
      <w:tblCellMar>
        <w:left w:w="0" w:type="dxa"/>
        <w:right w:w="0" w:type="dxa"/>
      </w:tblCellMar>
    </w:tblPr>
  </w:style>
  <w:style w:type="table" w:styleId="743">
    <w:name w:val="Grid Table 6 Colorful"/>
    <w:basedOn w:val="677"/>
    <w:rPr>
      <w:sz w:val="24"/>
    </w:rPr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744" w:customStyle="1">
    <w:name w:val="Grid Table 6 Colorful - Accent 1"/>
    <w:basedOn w:val="677"/>
    <w:rPr>
      <w:sz w:val="24"/>
    </w:rPr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745" w:customStyle="1">
    <w:name w:val="Grid Table 6 Colorful - Accent 2"/>
    <w:basedOn w:val="677"/>
    <w:rPr>
      <w:sz w:val="24"/>
    </w:rPr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746" w:customStyle="1">
    <w:name w:val="Grid Table 6 Colorful - Accent 3"/>
    <w:basedOn w:val="677"/>
    <w:rPr>
      <w:sz w:val="24"/>
    </w:rPr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747" w:customStyle="1">
    <w:name w:val="Grid Table 6 Colorful - Accent 4"/>
    <w:basedOn w:val="677"/>
    <w:rPr>
      <w:sz w:val="24"/>
    </w:rPr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748" w:customStyle="1">
    <w:name w:val="Grid Table 6 Colorful - Accent 5"/>
    <w:basedOn w:val="677"/>
    <w:rPr>
      <w:sz w:val="24"/>
    </w:rPr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749" w:customStyle="1">
    <w:name w:val="Grid Table 6 Colorful - Accent 6"/>
    <w:basedOn w:val="677"/>
    <w:rPr>
      <w:sz w:val="24"/>
    </w:rPr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750">
    <w:name w:val="Grid Table 7 Colorful"/>
    <w:basedOn w:val="677"/>
    <w:rPr>
      <w:sz w:val="24"/>
    </w:rPr>
    <w:tblPr>
      <w:tblBorders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751" w:customStyle="1">
    <w:name w:val="Grid Table 7 Colorful - Accent 1"/>
    <w:basedOn w:val="677"/>
    <w:rPr>
      <w:sz w:val="24"/>
    </w:rPr>
    <w:tblPr>
      <w:tblBorders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752" w:customStyle="1">
    <w:name w:val="Grid Table 7 Colorful - Accent 2"/>
    <w:basedOn w:val="677"/>
    <w:rPr>
      <w:sz w:val="24"/>
    </w:rPr>
    <w:tblPr>
      <w:tblBorders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753" w:customStyle="1">
    <w:name w:val="Grid Table 7 Colorful - Accent 3"/>
    <w:basedOn w:val="677"/>
    <w:rPr>
      <w:sz w:val="24"/>
    </w:rPr>
    <w:tblPr>
      <w:tblBorders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754" w:customStyle="1">
    <w:name w:val="Grid Table 7 Colorful - Accent 4"/>
    <w:basedOn w:val="677"/>
    <w:rPr>
      <w:sz w:val="24"/>
    </w:rPr>
    <w:tblPr>
      <w:tblBorders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755" w:customStyle="1">
    <w:name w:val="Grid Table 7 Colorful - Accent 5"/>
    <w:basedOn w:val="677"/>
    <w:rPr>
      <w:sz w:val="24"/>
    </w:rPr>
    <w:tblPr>
      <w:tblBorders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756" w:customStyle="1">
    <w:name w:val="Grid Table 7 Colorful - Accent 6"/>
    <w:basedOn w:val="677"/>
    <w:rPr>
      <w:sz w:val="24"/>
    </w:rPr>
    <w:tblPr>
      <w:tblBorders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757">
    <w:name w:val="List Table 1 Light"/>
    <w:basedOn w:val="677"/>
    <w:rPr>
      <w:sz w:val="24"/>
    </w:rPr>
    <w:tblPr>
      <w:tblCellMar>
        <w:left w:w="0" w:type="dxa"/>
        <w:right w:w="0" w:type="dxa"/>
      </w:tblCellMar>
    </w:tblPr>
  </w:style>
  <w:style w:type="table" w:styleId="758" w:customStyle="1">
    <w:name w:val="List Table 1 Light - Accent 1"/>
    <w:basedOn w:val="677"/>
    <w:rPr>
      <w:sz w:val="24"/>
    </w:rPr>
    <w:tblPr>
      <w:tblCellMar>
        <w:left w:w="0" w:type="dxa"/>
        <w:right w:w="0" w:type="dxa"/>
      </w:tblCellMar>
    </w:tblPr>
  </w:style>
  <w:style w:type="table" w:styleId="759" w:customStyle="1">
    <w:name w:val="List Table 1 Light - Accent 2"/>
    <w:basedOn w:val="677"/>
    <w:rPr>
      <w:sz w:val="24"/>
    </w:rPr>
    <w:tblPr>
      <w:tblCellMar>
        <w:left w:w="0" w:type="dxa"/>
        <w:right w:w="0" w:type="dxa"/>
      </w:tblCellMar>
    </w:tblPr>
  </w:style>
  <w:style w:type="table" w:styleId="760" w:customStyle="1">
    <w:name w:val="List Table 1 Light - Accent 3"/>
    <w:basedOn w:val="677"/>
    <w:rPr>
      <w:sz w:val="24"/>
    </w:rPr>
    <w:tblPr>
      <w:tblCellMar>
        <w:left w:w="0" w:type="dxa"/>
        <w:right w:w="0" w:type="dxa"/>
      </w:tblCellMar>
    </w:tblPr>
  </w:style>
  <w:style w:type="table" w:styleId="761" w:customStyle="1">
    <w:name w:val="List Table 1 Light - Accent 4"/>
    <w:basedOn w:val="677"/>
    <w:rPr>
      <w:sz w:val="24"/>
    </w:rPr>
    <w:tblPr>
      <w:tblCellMar>
        <w:left w:w="0" w:type="dxa"/>
        <w:right w:w="0" w:type="dxa"/>
      </w:tblCellMar>
    </w:tblPr>
  </w:style>
  <w:style w:type="table" w:styleId="762" w:customStyle="1">
    <w:name w:val="List Table 1 Light - Accent 5"/>
    <w:basedOn w:val="677"/>
    <w:rPr>
      <w:sz w:val="24"/>
    </w:rPr>
    <w:tblPr>
      <w:tblCellMar>
        <w:left w:w="0" w:type="dxa"/>
        <w:right w:w="0" w:type="dxa"/>
      </w:tblCellMar>
    </w:tblPr>
  </w:style>
  <w:style w:type="table" w:styleId="763" w:customStyle="1">
    <w:name w:val="List Table 1 Light - Accent 6"/>
    <w:basedOn w:val="677"/>
    <w:rPr>
      <w:sz w:val="24"/>
    </w:rPr>
    <w:tblPr>
      <w:tblCellMar>
        <w:left w:w="0" w:type="dxa"/>
        <w:right w:w="0" w:type="dxa"/>
      </w:tblCellMar>
    </w:tblPr>
  </w:style>
  <w:style w:type="table" w:styleId="764">
    <w:name w:val="List Table 2"/>
    <w:basedOn w:val="677"/>
    <w:rPr>
      <w:sz w:val="24"/>
    </w:rPr>
    <w:tblPr>
      <w:tblBorders>
        <w:top w:val="none" w:color="000000" w:sz="4" w:space="0"/>
        <w:bottom w:val="none" w:color="000000" w:sz="4" w:space="0"/>
        <w:insideH w:val="none" w:color="000000" w:sz="4" w:space="0"/>
      </w:tblBorders>
      <w:tblCellMar>
        <w:left w:w="0" w:type="dxa"/>
        <w:right w:w="0" w:type="dxa"/>
      </w:tblCellMar>
    </w:tblPr>
  </w:style>
  <w:style w:type="table" w:styleId="765" w:customStyle="1">
    <w:name w:val="List Table 2 - Accent 1"/>
    <w:basedOn w:val="677"/>
    <w:rPr>
      <w:sz w:val="24"/>
    </w:rPr>
    <w:tblPr>
      <w:tblBorders>
        <w:top w:val="none" w:color="000000" w:sz="4" w:space="0"/>
        <w:bottom w:val="none" w:color="000000" w:sz="4" w:space="0"/>
        <w:insideH w:val="none" w:color="000000" w:sz="4" w:space="0"/>
      </w:tblBorders>
      <w:tblCellMar>
        <w:left w:w="0" w:type="dxa"/>
        <w:right w:w="0" w:type="dxa"/>
      </w:tblCellMar>
    </w:tblPr>
  </w:style>
  <w:style w:type="table" w:styleId="766" w:customStyle="1">
    <w:name w:val="List Table 2 - Accent 2"/>
    <w:basedOn w:val="677"/>
    <w:rPr>
      <w:sz w:val="24"/>
    </w:rPr>
    <w:tblPr>
      <w:tblBorders>
        <w:top w:val="none" w:color="000000" w:sz="4" w:space="0"/>
        <w:bottom w:val="none" w:color="000000" w:sz="4" w:space="0"/>
        <w:insideH w:val="none" w:color="000000" w:sz="4" w:space="0"/>
      </w:tblBorders>
      <w:tblCellMar>
        <w:left w:w="0" w:type="dxa"/>
        <w:right w:w="0" w:type="dxa"/>
      </w:tblCellMar>
    </w:tblPr>
  </w:style>
  <w:style w:type="table" w:styleId="767" w:customStyle="1">
    <w:name w:val="List Table 2 - Accent 3"/>
    <w:basedOn w:val="677"/>
    <w:rPr>
      <w:sz w:val="24"/>
    </w:rPr>
    <w:tblPr>
      <w:tblBorders>
        <w:top w:val="none" w:color="000000" w:sz="4" w:space="0"/>
        <w:bottom w:val="none" w:color="000000" w:sz="4" w:space="0"/>
        <w:insideH w:val="none" w:color="000000" w:sz="4" w:space="0"/>
      </w:tblBorders>
      <w:tblCellMar>
        <w:left w:w="0" w:type="dxa"/>
        <w:right w:w="0" w:type="dxa"/>
      </w:tblCellMar>
    </w:tblPr>
  </w:style>
  <w:style w:type="table" w:styleId="768" w:customStyle="1">
    <w:name w:val="List Table 2 - Accent 4"/>
    <w:basedOn w:val="677"/>
    <w:rPr>
      <w:sz w:val="24"/>
    </w:rPr>
    <w:tblPr>
      <w:tblBorders>
        <w:top w:val="none" w:color="000000" w:sz="4" w:space="0"/>
        <w:bottom w:val="none" w:color="000000" w:sz="4" w:space="0"/>
        <w:insideH w:val="none" w:color="000000" w:sz="4" w:space="0"/>
      </w:tblBorders>
      <w:tblCellMar>
        <w:left w:w="0" w:type="dxa"/>
        <w:right w:w="0" w:type="dxa"/>
      </w:tblCellMar>
    </w:tblPr>
  </w:style>
  <w:style w:type="table" w:styleId="769" w:customStyle="1">
    <w:name w:val="List Table 2 - Accent 5"/>
    <w:basedOn w:val="677"/>
    <w:rPr>
      <w:sz w:val="24"/>
    </w:rPr>
    <w:tblPr>
      <w:tblBorders>
        <w:top w:val="none" w:color="000000" w:sz="4" w:space="0"/>
        <w:bottom w:val="none" w:color="000000" w:sz="4" w:space="0"/>
        <w:insideH w:val="none" w:color="000000" w:sz="4" w:space="0"/>
      </w:tblBorders>
      <w:tblCellMar>
        <w:left w:w="0" w:type="dxa"/>
        <w:right w:w="0" w:type="dxa"/>
      </w:tblCellMar>
    </w:tblPr>
  </w:style>
  <w:style w:type="table" w:styleId="770" w:customStyle="1">
    <w:name w:val="List Table 2 - Accent 6"/>
    <w:basedOn w:val="677"/>
    <w:rPr>
      <w:sz w:val="24"/>
    </w:rPr>
    <w:tblPr>
      <w:tblBorders>
        <w:top w:val="none" w:color="000000" w:sz="4" w:space="0"/>
        <w:bottom w:val="none" w:color="000000" w:sz="4" w:space="0"/>
        <w:insideH w:val="none" w:color="000000" w:sz="4" w:space="0"/>
      </w:tblBorders>
      <w:tblCellMar>
        <w:left w:w="0" w:type="dxa"/>
        <w:right w:w="0" w:type="dxa"/>
      </w:tblCellMar>
    </w:tblPr>
  </w:style>
  <w:style w:type="table" w:styleId="771">
    <w:name w:val="List Table 3"/>
    <w:basedOn w:val="677"/>
    <w:rPr>
      <w:sz w:val="24"/>
    </w:rPr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tblBorders>
      <w:tblCellMar>
        <w:left w:w="0" w:type="dxa"/>
        <w:right w:w="0" w:type="dxa"/>
      </w:tblCellMar>
    </w:tblPr>
  </w:style>
  <w:style w:type="table" w:styleId="772" w:customStyle="1">
    <w:name w:val="List Table 3 - Accent 1"/>
    <w:basedOn w:val="677"/>
    <w:rPr>
      <w:sz w:val="24"/>
    </w:rPr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tblBorders>
      <w:tblCellMar>
        <w:left w:w="0" w:type="dxa"/>
        <w:right w:w="0" w:type="dxa"/>
      </w:tblCellMar>
    </w:tblPr>
  </w:style>
  <w:style w:type="table" w:styleId="773" w:customStyle="1">
    <w:name w:val="List Table 3 - Accent 2"/>
    <w:basedOn w:val="677"/>
    <w:rPr>
      <w:sz w:val="24"/>
    </w:rPr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tblBorders>
      <w:tblCellMar>
        <w:left w:w="0" w:type="dxa"/>
        <w:right w:w="0" w:type="dxa"/>
      </w:tblCellMar>
    </w:tblPr>
  </w:style>
  <w:style w:type="table" w:styleId="774" w:customStyle="1">
    <w:name w:val="List Table 3 - Accent 3"/>
    <w:basedOn w:val="677"/>
    <w:rPr>
      <w:sz w:val="24"/>
    </w:rPr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tblBorders>
      <w:tblCellMar>
        <w:left w:w="0" w:type="dxa"/>
        <w:right w:w="0" w:type="dxa"/>
      </w:tblCellMar>
    </w:tblPr>
  </w:style>
  <w:style w:type="table" w:styleId="775" w:customStyle="1">
    <w:name w:val="List Table 3 - Accent 4"/>
    <w:basedOn w:val="677"/>
    <w:rPr>
      <w:sz w:val="24"/>
    </w:rPr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tblBorders>
      <w:tblCellMar>
        <w:left w:w="0" w:type="dxa"/>
        <w:right w:w="0" w:type="dxa"/>
      </w:tblCellMar>
    </w:tblPr>
  </w:style>
  <w:style w:type="table" w:styleId="776" w:customStyle="1">
    <w:name w:val="List Table 3 - Accent 5"/>
    <w:basedOn w:val="677"/>
    <w:rPr>
      <w:sz w:val="24"/>
    </w:rPr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tblBorders>
      <w:tblCellMar>
        <w:left w:w="0" w:type="dxa"/>
        <w:right w:w="0" w:type="dxa"/>
      </w:tblCellMar>
    </w:tblPr>
  </w:style>
  <w:style w:type="table" w:styleId="777" w:customStyle="1">
    <w:name w:val="List Table 3 - Accent 6"/>
    <w:basedOn w:val="677"/>
    <w:rPr>
      <w:sz w:val="24"/>
    </w:rPr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tblBorders>
      <w:tblCellMar>
        <w:left w:w="0" w:type="dxa"/>
        <w:right w:w="0" w:type="dxa"/>
      </w:tblCellMar>
    </w:tblPr>
  </w:style>
  <w:style w:type="table" w:styleId="778">
    <w:name w:val="List Table 4"/>
    <w:basedOn w:val="677"/>
    <w:rPr>
      <w:sz w:val="24"/>
    </w:rPr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</w:tblBorders>
      <w:tblCellMar>
        <w:left w:w="0" w:type="dxa"/>
        <w:right w:w="0" w:type="dxa"/>
      </w:tblCellMar>
    </w:tblPr>
  </w:style>
  <w:style w:type="table" w:styleId="779" w:customStyle="1">
    <w:name w:val="List Table 4 - Accent 1"/>
    <w:basedOn w:val="677"/>
    <w:rPr>
      <w:sz w:val="24"/>
    </w:rPr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</w:tblBorders>
      <w:tblCellMar>
        <w:left w:w="0" w:type="dxa"/>
        <w:right w:w="0" w:type="dxa"/>
      </w:tblCellMar>
    </w:tblPr>
  </w:style>
  <w:style w:type="table" w:styleId="780" w:customStyle="1">
    <w:name w:val="List Table 4 - Accent 2"/>
    <w:basedOn w:val="677"/>
    <w:rPr>
      <w:sz w:val="24"/>
    </w:rPr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</w:tblBorders>
      <w:tblCellMar>
        <w:left w:w="0" w:type="dxa"/>
        <w:right w:w="0" w:type="dxa"/>
      </w:tblCellMar>
    </w:tblPr>
  </w:style>
  <w:style w:type="table" w:styleId="781" w:customStyle="1">
    <w:name w:val="List Table 4 - Accent 3"/>
    <w:basedOn w:val="677"/>
    <w:rPr>
      <w:sz w:val="24"/>
    </w:rPr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</w:tblBorders>
      <w:tblCellMar>
        <w:left w:w="0" w:type="dxa"/>
        <w:right w:w="0" w:type="dxa"/>
      </w:tblCellMar>
    </w:tblPr>
  </w:style>
  <w:style w:type="table" w:styleId="782" w:customStyle="1">
    <w:name w:val="List Table 4 - Accent 4"/>
    <w:basedOn w:val="677"/>
    <w:rPr>
      <w:sz w:val="24"/>
    </w:rPr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</w:tblBorders>
      <w:tblCellMar>
        <w:left w:w="0" w:type="dxa"/>
        <w:right w:w="0" w:type="dxa"/>
      </w:tblCellMar>
    </w:tblPr>
  </w:style>
  <w:style w:type="table" w:styleId="783" w:customStyle="1">
    <w:name w:val="List Table 4 - Accent 5"/>
    <w:basedOn w:val="677"/>
    <w:rPr>
      <w:sz w:val="24"/>
    </w:rPr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</w:tblBorders>
      <w:tblCellMar>
        <w:left w:w="0" w:type="dxa"/>
        <w:right w:w="0" w:type="dxa"/>
      </w:tblCellMar>
    </w:tblPr>
  </w:style>
  <w:style w:type="table" w:styleId="784" w:customStyle="1">
    <w:name w:val="List Table 4 - Accent 6"/>
    <w:basedOn w:val="677"/>
    <w:rPr>
      <w:sz w:val="24"/>
    </w:rPr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</w:tblBorders>
      <w:tblCellMar>
        <w:left w:w="0" w:type="dxa"/>
        <w:right w:w="0" w:type="dxa"/>
      </w:tblCellMar>
    </w:tblPr>
  </w:style>
  <w:style w:type="table" w:styleId="785">
    <w:name w:val="List Table 5 Dark"/>
    <w:basedOn w:val="677"/>
    <w:rPr>
      <w:sz w:val="24"/>
    </w:rPr>
    <w:tblPr>
      <w:tblBorders>
        <w:top w:val="none" w:color="000000" w:sz="32" w:space="0"/>
        <w:left w:val="none" w:color="000000" w:sz="32" w:space="0"/>
        <w:bottom w:val="none" w:color="000000" w:sz="32" w:space="0"/>
        <w:right w:val="none" w:color="000000" w:sz="32" w:space="0"/>
      </w:tblBorders>
      <w:shd w:val="clear" w:color="ffffff" w:fill="7f7f7f"/>
      <w:tblCellMar>
        <w:left w:w="0" w:type="dxa"/>
        <w:right w:w="0" w:type="dxa"/>
      </w:tblCellMar>
    </w:tblPr>
  </w:style>
  <w:style w:type="table" w:styleId="786" w:customStyle="1">
    <w:name w:val="List Table 5 Dark - Accent 1"/>
    <w:basedOn w:val="677"/>
    <w:rPr>
      <w:sz w:val="24"/>
    </w:rPr>
    <w:tblPr>
      <w:tblBorders>
        <w:top w:val="none" w:color="000000" w:sz="32" w:space="0"/>
        <w:left w:val="none" w:color="000000" w:sz="32" w:space="0"/>
        <w:bottom w:val="none" w:color="000000" w:sz="32" w:space="0"/>
        <w:right w:val="none" w:color="000000" w:sz="32" w:space="0"/>
      </w:tblBorders>
      <w:shd w:val="clear" w:color="ffffff" w:fill="5b9bd5"/>
      <w:tblCellMar>
        <w:left w:w="0" w:type="dxa"/>
        <w:right w:w="0" w:type="dxa"/>
      </w:tblCellMar>
    </w:tblPr>
  </w:style>
  <w:style w:type="table" w:styleId="787" w:customStyle="1">
    <w:name w:val="List Table 5 Dark - Accent 2"/>
    <w:basedOn w:val="677"/>
    <w:rPr>
      <w:sz w:val="24"/>
    </w:rPr>
    <w:tblPr>
      <w:tblBorders>
        <w:top w:val="none" w:color="000000" w:sz="32" w:space="0"/>
        <w:left w:val="none" w:color="000000" w:sz="32" w:space="0"/>
        <w:bottom w:val="none" w:color="000000" w:sz="32" w:space="0"/>
        <w:right w:val="none" w:color="000000" w:sz="32" w:space="0"/>
      </w:tblBorders>
      <w:shd w:val="clear" w:color="ffffff" w:fill="f4b185"/>
      <w:tblCellMar>
        <w:left w:w="0" w:type="dxa"/>
        <w:right w:w="0" w:type="dxa"/>
      </w:tblCellMar>
    </w:tblPr>
  </w:style>
  <w:style w:type="table" w:styleId="788" w:customStyle="1">
    <w:name w:val="List Table 5 Dark - Accent 3"/>
    <w:basedOn w:val="677"/>
    <w:rPr>
      <w:sz w:val="24"/>
    </w:rPr>
    <w:tblPr>
      <w:tblBorders>
        <w:top w:val="none" w:color="000000" w:sz="32" w:space="0"/>
        <w:left w:val="none" w:color="000000" w:sz="32" w:space="0"/>
        <w:bottom w:val="none" w:color="000000" w:sz="32" w:space="0"/>
        <w:right w:val="none" w:color="000000" w:sz="32" w:space="0"/>
      </w:tblBorders>
      <w:shd w:val="clear" w:color="ffffff" w:fill="c9c9c9"/>
      <w:tblCellMar>
        <w:left w:w="0" w:type="dxa"/>
        <w:right w:w="0" w:type="dxa"/>
      </w:tblCellMar>
    </w:tblPr>
  </w:style>
  <w:style w:type="table" w:styleId="789" w:customStyle="1">
    <w:name w:val="List Table 5 Dark - Accent 4"/>
    <w:basedOn w:val="677"/>
    <w:rPr>
      <w:sz w:val="24"/>
    </w:rPr>
    <w:tblPr>
      <w:tblBorders>
        <w:top w:val="none" w:color="000000" w:sz="32" w:space="0"/>
        <w:left w:val="none" w:color="000000" w:sz="32" w:space="0"/>
        <w:bottom w:val="none" w:color="000000" w:sz="32" w:space="0"/>
        <w:right w:val="none" w:color="000000" w:sz="32" w:space="0"/>
      </w:tblBorders>
      <w:shd w:val="clear" w:color="ffffff" w:fill="ffd864"/>
      <w:tblCellMar>
        <w:left w:w="0" w:type="dxa"/>
        <w:right w:w="0" w:type="dxa"/>
      </w:tblCellMar>
    </w:tblPr>
  </w:style>
  <w:style w:type="table" w:styleId="790" w:customStyle="1">
    <w:name w:val="List Table 5 Dark - Accent 5"/>
    <w:basedOn w:val="677"/>
    <w:rPr>
      <w:sz w:val="24"/>
    </w:rPr>
    <w:tblPr>
      <w:tblBorders>
        <w:top w:val="none" w:color="000000" w:sz="32" w:space="0"/>
        <w:left w:val="none" w:color="000000" w:sz="32" w:space="0"/>
        <w:bottom w:val="none" w:color="000000" w:sz="32" w:space="0"/>
        <w:right w:val="none" w:color="000000" w:sz="32" w:space="0"/>
      </w:tblBorders>
      <w:shd w:val="clear" w:color="ffffff" w:fill="8eabdb"/>
      <w:tblCellMar>
        <w:left w:w="0" w:type="dxa"/>
        <w:right w:w="0" w:type="dxa"/>
      </w:tblCellMar>
    </w:tblPr>
  </w:style>
  <w:style w:type="table" w:styleId="791" w:customStyle="1">
    <w:name w:val="List Table 5 Dark - Accent 6"/>
    <w:basedOn w:val="677"/>
    <w:rPr>
      <w:sz w:val="24"/>
    </w:rPr>
    <w:tblPr>
      <w:tblBorders>
        <w:top w:val="none" w:color="000000" w:sz="32" w:space="0"/>
        <w:left w:val="none" w:color="000000" w:sz="32" w:space="0"/>
        <w:bottom w:val="none" w:color="000000" w:sz="32" w:space="0"/>
        <w:right w:val="none" w:color="000000" w:sz="32" w:space="0"/>
      </w:tblBorders>
      <w:shd w:val="clear" w:color="ffffff" w:fill="aad08f"/>
      <w:tblCellMar>
        <w:left w:w="0" w:type="dxa"/>
        <w:right w:w="0" w:type="dxa"/>
      </w:tblCellMar>
    </w:tblPr>
  </w:style>
  <w:style w:type="table" w:styleId="792">
    <w:name w:val="List Table 6 Colorful"/>
    <w:basedOn w:val="677"/>
    <w:rPr>
      <w:sz w:val="24"/>
    </w:rPr>
    <w:tblPr>
      <w:tblBorders>
        <w:top w:val="none" w:color="000000" w:sz="4" w:space="0"/>
        <w:bottom w:val="none" w:color="000000" w:sz="4" w:space="0"/>
      </w:tblBorders>
      <w:tblCellMar>
        <w:left w:w="0" w:type="dxa"/>
        <w:right w:w="0" w:type="dxa"/>
      </w:tblCellMar>
    </w:tblPr>
  </w:style>
  <w:style w:type="table" w:styleId="793" w:customStyle="1">
    <w:name w:val="List Table 6 Colorful - Accent 1"/>
    <w:basedOn w:val="677"/>
    <w:rPr>
      <w:sz w:val="24"/>
    </w:rPr>
    <w:tblPr>
      <w:tblBorders>
        <w:top w:val="none" w:color="000000" w:sz="4" w:space="0"/>
        <w:bottom w:val="none" w:color="000000" w:sz="4" w:space="0"/>
      </w:tblBorders>
      <w:tblCellMar>
        <w:left w:w="0" w:type="dxa"/>
        <w:right w:w="0" w:type="dxa"/>
      </w:tblCellMar>
    </w:tblPr>
  </w:style>
  <w:style w:type="table" w:styleId="794" w:customStyle="1">
    <w:name w:val="List Table 6 Colorful - Accent 2"/>
    <w:basedOn w:val="677"/>
    <w:rPr>
      <w:sz w:val="24"/>
    </w:rPr>
    <w:tblPr>
      <w:tblBorders>
        <w:top w:val="none" w:color="000000" w:sz="4" w:space="0"/>
        <w:bottom w:val="none" w:color="000000" w:sz="4" w:space="0"/>
      </w:tblBorders>
      <w:tblCellMar>
        <w:left w:w="0" w:type="dxa"/>
        <w:right w:w="0" w:type="dxa"/>
      </w:tblCellMar>
    </w:tblPr>
  </w:style>
  <w:style w:type="table" w:styleId="795" w:customStyle="1">
    <w:name w:val="List Table 6 Colorful - Accent 3"/>
    <w:basedOn w:val="677"/>
    <w:rPr>
      <w:sz w:val="24"/>
    </w:rPr>
    <w:tblPr>
      <w:tblBorders>
        <w:top w:val="none" w:color="000000" w:sz="4" w:space="0"/>
        <w:bottom w:val="none" w:color="000000" w:sz="4" w:space="0"/>
      </w:tblBorders>
      <w:tblCellMar>
        <w:left w:w="0" w:type="dxa"/>
        <w:right w:w="0" w:type="dxa"/>
      </w:tblCellMar>
    </w:tblPr>
  </w:style>
  <w:style w:type="table" w:styleId="796" w:customStyle="1">
    <w:name w:val="List Table 6 Colorful - Accent 4"/>
    <w:basedOn w:val="677"/>
    <w:rPr>
      <w:sz w:val="24"/>
    </w:rPr>
    <w:tblPr>
      <w:tblBorders>
        <w:top w:val="none" w:color="000000" w:sz="4" w:space="0"/>
        <w:bottom w:val="none" w:color="000000" w:sz="4" w:space="0"/>
      </w:tblBorders>
      <w:tblCellMar>
        <w:left w:w="0" w:type="dxa"/>
        <w:right w:w="0" w:type="dxa"/>
      </w:tblCellMar>
    </w:tblPr>
  </w:style>
  <w:style w:type="table" w:styleId="797" w:customStyle="1">
    <w:name w:val="List Table 6 Colorful - Accent 5"/>
    <w:basedOn w:val="677"/>
    <w:rPr>
      <w:sz w:val="24"/>
    </w:rPr>
    <w:tblPr>
      <w:tblBorders>
        <w:top w:val="none" w:color="000000" w:sz="4" w:space="0"/>
        <w:bottom w:val="none" w:color="000000" w:sz="4" w:space="0"/>
      </w:tblBorders>
      <w:tblCellMar>
        <w:left w:w="0" w:type="dxa"/>
        <w:right w:w="0" w:type="dxa"/>
      </w:tblCellMar>
    </w:tblPr>
  </w:style>
  <w:style w:type="table" w:styleId="798" w:customStyle="1">
    <w:name w:val="List Table 6 Colorful - Accent 6"/>
    <w:basedOn w:val="677"/>
    <w:rPr>
      <w:sz w:val="24"/>
    </w:rPr>
    <w:tblPr>
      <w:tblBorders>
        <w:top w:val="none" w:color="000000" w:sz="4" w:space="0"/>
        <w:bottom w:val="none" w:color="000000" w:sz="4" w:space="0"/>
      </w:tblBorders>
      <w:tblCellMar>
        <w:left w:w="0" w:type="dxa"/>
        <w:right w:w="0" w:type="dxa"/>
      </w:tblCellMar>
    </w:tblPr>
  </w:style>
  <w:style w:type="table" w:styleId="799">
    <w:name w:val="List Table 7 Colorful"/>
    <w:basedOn w:val="677"/>
    <w:rPr>
      <w:sz w:val="24"/>
    </w:rPr>
    <w:tblPr>
      <w:tblBorders>
        <w:right w:val="none" w:color="000000" w:sz="4" w:space="0"/>
      </w:tblBorders>
      <w:tblCellMar>
        <w:left w:w="0" w:type="dxa"/>
        <w:right w:w="0" w:type="dxa"/>
      </w:tblCellMar>
    </w:tblPr>
  </w:style>
  <w:style w:type="table" w:styleId="800" w:customStyle="1">
    <w:name w:val="List Table 7 Colorful - Accent 1"/>
    <w:basedOn w:val="677"/>
    <w:rPr>
      <w:sz w:val="24"/>
    </w:rPr>
    <w:tblPr>
      <w:tblBorders>
        <w:right w:val="none" w:color="000000" w:sz="4" w:space="0"/>
      </w:tblBorders>
      <w:tblCellMar>
        <w:left w:w="0" w:type="dxa"/>
        <w:right w:w="0" w:type="dxa"/>
      </w:tblCellMar>
    </w:tblPr>
  </w:style>
  <w:style w:type="table" w:styleId="801" w:customStyle="1">
    <w:name w:val="List Table 7 Colorful - Accent 2"/>
    <w:basedOn w:val="677"/>
    <w:rPr>
      <w:sz w:val="24"/>
    </w:rPr>
    <w:tblPr>
      <w:tblBorders>
        <w:right w:val="none" w:color="000000" w:sz="4" w:space="0"/>
      </w:tblBorders>
      <w:tblCellMar>
        <w:left w:w="0" w:type="dxa"/>
        <w:right w:w="0" w:type="dxa"/>
      </w:tblCellMar>
    </w:tblPr>
  </w:style>
  <w:style w:type="table" w:styleId="802" w:customStyle="1">
    <w:name w:val="List Table 7 Colorful - Accent 3"/>
    <w:basedOn w:val="677"/>
    <w:rPr>
      <w:sz w:val="24"/>
    </w:rPr>
    <w:tblPr>
      <w:tblBorders>
        <w:right w:val="none" w:color="000000" w:sz="4" w:space="0"/>
      </w:tblBorders>
      <w:tblCellMar>
        <w:left w:w="0" w:type="dxa"/>
        <w:right w:w="0" w:type="dxa"/>
      </w:tblCellMar>
    </w:tblPr>
  </w:style>
  <w:style w:type="table" w:styleId="803" w:customStyle="1">
    <w:name w:val="List Table 7 Colorful - Accent 4"/>
    <w:basedOn w:val="677"/>
    <w:rPr>
      <w:sz w:val="24"/>
    </w:rPr>
    <w:tblPr>
      <w:tblBorders>
        <w:right w:val="none" w:color="000000" w:sz="4" w:space="0"/>
      </w:tblBorders>
      <w:tblCellMar>
        <w:left w:w="0" w:type="dxa"/>
        <w:right w:w="0" w:type="dxa"/>
      </w:tblCellMar>
    </w:tblPr>
  </w:style>
  <w:style w:type="table" w:styleId="804" w:customStyle="1">
    <w:name w:val="List Table 7 Colorful - Accent 5"/>
    <w:basedOn w:val="677"/>
    <w:rPr>
      <w:sz w:val="24"/>
    </w:rPr>
    <w:tblPr>
      <w:tblBorders>
        <w:right w:val="none" w:color="000000" w:sz="4" w:space="0"/>
      </w:tblBorders>
      <w:tblCellMar>
        <w:left w:w="0" w:type="dxa"/>
        <w:right w:w="0" w:type="dxa"/>
      </w:tblCellMar>
    </w:tblPr>
  </w:style>
  <w:style w:type="table" w:styleId="805" w:customStyle="1">
    <w:name w:val="List Table 7 Colorful - Accent 6"/>
    <w:basedOn w:val="677"/>
    <w:rPr>
      <w:sz w:val="24"/>
    </w:rPr>
    <w:tblPr>
      <w:tblBorders>
        <w:right w:val="none" w:color="000000" w:sz="4" w:space="0"/>
      </w:tblBorders>
      <w:tblCellMar>
        <w:left w:w="0" w:type="dxa"/>
        <w:right w:w="0" w:type="dxa"/>
      </w:tblCellMar>
    </w:tblPr>
  </w:style>
  <w:style w:type="table" w:styleId="806" w:customStyle="1">
    <w:name w:val="Lined - Accent"/>
    <w:basedOn w:val="677"/>
    <w:rPr>
      <w:color w:val="404040"/>
      <w:sz w:val="24"/>
    </w:rPr>
    <w:tblPr>
      <w:tblCellMar>
        <w:left w:w="0" w:type="dxa"/>
        <w:right w:w="0" w:type="dxa"/>
      </w:tblCellMar>
    </w:tblPr>
  </w:style>
  <w:style w:type="table" w:styleId="807" w:customStyle="1">
    <w:name w:val="Lined - Accent 1"/>
    <w:basedOn w:val="677"/>
    <w:rPr>
      <w:color w:val="404040"/>
      <w:sz w:val="24"/>
    </w:rPr>
    <w:tblPr>
      <w:tblCellMar>
        <w:left w:w="0" w:type="dxa"/>
        <w:right w:w="0" w:type="dxa"/>
      </w:tblCellMar>
    </w:tblPr>
  </w:style>
  <w:style w:type="table" w:styleId="808" w:customStyle="1">
    <w:name w:val="Lined - Accent 2"/>
    <w:basedOn w:val="677"/>
    <w:rPr>
      <w:color w:val="404040"/>
      <w:sz w:val="24"/>
    </w:rPr>
    <w:tblPr>
      <w:tblCellMar>
        <w:left w:w="0" w:type="dxa"/>
        <w:right w:w="0" w:type="dxa"/>
      </w:tblCellMar>
    </w:tblPr>
  </w:style>
  <w:style w:type="table" w:styleId="809" w:customStyle="1">
    <w:name w:val="Lined - Accent 3"/>
    <w:basedOn w:val="677"/>
    <w:rPr>
      <w:color w:val="404040"/>
      <w:sz w:val="24"/>
    </w:rPr>
    <w:tblPr>
      <w:tblCellMar>
        <w:left w:w="0" w:type="dxa"/>
        <w:right w:w="0" w:type="dxa"/>
      </w:tblCellMar>
    </w:tblPr>
  </w:style>
  <w:style w:type="table" w:styleId="810" w:customStyle="1">
    <w:name w:val="Lined - Accent 4"/>
    <w:basedOn w:val="677"/>
    <w:rPr>
      <w:color w:val="404040"/>
      <w:sz w:val="24"/>
    </w:rPr>
    <w:tblPr>
      <w:tblCellMar>
        <w:left w:w="0" w:type="dxa"/>
        <w:right w:w="0" w:type="dxa"/>
      </w:tblCellMar>
    </w:tblPr>
  </w:style>
  <w:style w:type="table" w:styleId="811" w:customStyle="1">
    <w:name w:val="Lined - Accent 5"/>
    <w:basedOn w:val="677"/>
    <w:rPr>
      <w:color w:val="404040"/>
      <w:sz w:val="24"/>
    </w:rPr>
    <w:tblPr>
      <w:tblCellMar>
        <w:left w:w="0" w:type="dxa"/>
        <w:right w:w="0" w:type="dxa"/>
      </w:tblCellMar>
    </w:tblPr>
  </w:style>
  <w:style w:type="table" w:styleId="812" w:customStyle="1">
    <w:name w:val="Lined - Accent 6"/>
    <w:basedOn w:val="677"/>
    <w:rPr>
      <w:color w:val="404040"/>
      <w:sz w:val="24"/>
    </w:rPr>
    <w:tblPr>
      <w:tblCellMar>
        <w:left w:w="0" w:type="dxa"/>
        <w:right w:w="0" w:type="dxa"/>
      </w:tblCellMar>
    </w:tblPr>
  </w:style>
  <w:style w:type="table" w:styleId="813" w:customStyle="1">
    <w:name w:val="Bordered &amp; Lined - Accent"/>
    <w:basedOn w:val="677"/>
    <w:rPr>
      <w:color w:val="404040"/>
      <w:sz w:val="24"/>
    </w:rPr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814" w:customStyle="1">
    <w:name w:val="Bordered &amp; Lined - Accent 1"/>
    <w:basedOn w:val="677"/>
    <w:rPr>
      <w:color w:val="404040"/>
      <w:sz w:val="24"/>
    </w:rPr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815" w:customStyle="1">
    <w:name w:val="Bordered &amp; Lined - Accent 2"/>
    <w:basedOn w:val="677"/>
    <w:rPr>
      <w:color w:val="404040"/>
      <w:sz w:val="24"/>
    </w:rPr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816" w:customStyle="1">
    <w:name w:val="Bordered &amp; Lined - Accent 3"/>
    <w:basedOn w:val="677"/>
    <w:rPr>
      <w:color w:val="404040"/>
      <w:sz w:val="24"/>
    </w:rPr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817" w:customStyle="1">
    <w:name w:val="Bordered &amp; Lined - Accent 4"/>
    <w:basedOn w:val="677"/>
    <w:rPr>
      <w:color w:val="404040"/>
      <w:sz w:val="24"/>
    </w:rPr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818" w:customStyle="1">
    <w:name w:val="Bordered &amp; Lined - Accent 5"/>
    <w:basedOn w:val="677"/>
    <w:rPr>
      <w:color w:val="404040"/>
      <w:sz w:val="24"/>
    </w:rPr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819" w:customStyle="1">
    <w:name w:val="Bordered &amp; Lined - Accent 6"/>
    <w:basedOn w:val="677"/>
    <w:rPr>
      <w:color w:val="404040"/>
      <w:sz w:val="24"/>
    </w:rPr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820" w:customStyle="1">
    <w:name w:val="Bordered"/>
    <w:basedOn w:val="677"/>
    <w:rPr>
      <w:sz w:val="24"/>
    </w:rPr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821" w:customStyle="1">
    <w:name w:val="Bordered - Accent 1"/>
    <w:basedOn w:val="677"/>
    <w:rPr>
      <w:sz w:val="24"/>
    </w:rPr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822" w:customStyle="1">
    <w:name w:val="Bordered - Accent 2"/>
    <w:basedOn w:val="677"/>
    <w:rPr>
      <w:sz w:val="24"/>
    </w:rPr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823" w:customStyle="1">
    <w:name w:val="Bordered - Accent 3"/>
    <w:basedOn w:val="677"/>
    <w:rPr>
      <w:sz w:val="24"/>
    </w:rPr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824" w:customStyle="1">
    <w:name w:val="Bordered - Accent 4"/>
    <w:basedOn w:val="677"/>
    <w:rPr>
      <w:sz w:val="24"/>
    </w:rPr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825" w:customStyle="1">
    <w:name w:val="Bordered - Accent 5"/>
    <w:basedOn w:val="677"/>
    <w:rPr>
      <w:sz w:val="24"/>
    </w:rPr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826" w:customStyle="1">
    <w:name w:val="Bordered - Accent 6"/>
    <w:basedOn w:val="677"/>
    <w:rPr>
      <w:sz w:val="24"/>
    </w:rPr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character" w:styleId="827">
    <w:name w:val="Hyperlink"/>
    <w:unhideWhenUsed/>
    <w:rPr>
      <w:rFonts w:ascii="Calibri" w:hAnsi="Calibri" w:eastAsia="Calibri" w:cs="Calibri"/>
      <w:color w:val="0000ff"/>
      <w:sz w:val="24"/>
      <w:u w:val="single"/>
    </w:rPr>
  </w:style>
  <w:style w:type="paragraph" w:styleId="828">
    <w:name w:val="footnote text"/>
    <w:basedOn w:val="666"/>
    <w:semiHidden/>
    <w:unhideWhenUsed/>
    <w:pPr>
      <w:jc w:val="left"/>
      <w:spacing w:after="40"/>
    </w:pPr>
    <w:rPr>
      <w:rFonts w:ascii="Calibri" w:hAnsi="Calibri" w:eastAsia="Calibri" w:cs="Calibri"/>
      <w:sz w:val="18"/>
    </w:rPr>
  </w:style>
  <w:style w:type="character" w:styleId="829" w:customStyle="1">
    <w:name w:val="Footnote Text Char"/>
    <w:rPr>
      <w:rFonts w:ascii="Calibri" w:hAnsi="Calibri" w:eastAsia="Calibri" w:cs="Calibri"/>
      <w:sz w:val="18"/>
    </w:rPr>
  </w:style>
  <w:style w:type="character" w:styleId="830">
    <w:name w:val="footnote reference"/>
    <w:unhideWhenUsed/>
    <w:rPr>
      <w:rFonts w:ascii="Calibri" w:hAnsi="Calibri" w:eastAsia="Calibri" w:cs="Calibri"/>
      <w:sz w:val="24"/>
      <w:vertAlign w:val="superscript"/>
    </w:rPr>
  </w:style>
  <w:style w:type="paragraph" w:styleId="831">
    <w:name w:val="endnote text"/>
    <w:basedOn w:val="666"/>
    <w:semiHidden/>
    <w:unhideWhenUsed/>
    <w:pPr>
      <w:jc w:val="left"/>
    </w:pPr>
    <w:rPr>
      <w:rFonts w:ascii="Calibri" w:hAnsi="Calibri" w:eastAsia="Calibri" w:cs="Calibri"/>
      <w:sz w:val="20"/>
    </w:rPr>
  </w:style>
  <w:style w:type="character" w:styleId="832" w:customStyle="1">
    <w:name w:val="Endnote Text Char"/>
    <w:rPr>
      <w:rFonts w:ascii="Calibri" w:hAnsi="Calibri" w:eastAsia="Calibri" w:cs="Calibri"/>
      <w:sz w:val="20"/>
    </w:rPr>
  </w:style>
  <w:style w:type="character" w:styleId="833">
    <w:name w:val="endnote reference"/>
    <w:semiHidden/>
    <w:unhideWhenUsed/>
    <w:rPr>
      <w:rFonts w:ascii="Calibri" w:hAnsi="Calibri" w:eastAsia="Calibri" w:cs="Calibri"/>
      <w:sz w:val="24"/>
      <w:vertAlign w:val="superscript"/>
    </w:rPr>
  </w:style>
  <w:style w:type="paragraph" w:styleId="834">
    <w:name w:val="toc 1"/>
    <w:basedOn w:val="666"/>
    <w:unhideWhenUsed/>
    <w:pPr>
      <w:ind w:firstLine="0"/>
      <w:jc w:val="left"/>
      <w:spacing w:after="57"/>
    </w:pPr>
    <w:rPr>
      <w:rFonts w:ascii="Calibri" w:hAnsi="Calibri" w:eastAsia="Calibri" w:cs="Calibri"/>
    </w:rPr>
  </w:style>
  <w:style w:type="paragraph" w:styleId="835">
    <w:name w:val="toc 2"/>
    <w:basedOn w:val="666"/>
    <w:unhideWhenUsed/>
    <w:pPr>
      <w:ind w:left="283" w:firstLine="0"/>
      <w:jc w:val="left"/>
      <w:spacing w:after="57"/>
    </w:pPr>
    <w:rPr>
      <w:rFonts w:ascii="Calibri" w:hAnsi="Calibri" w:eastAsia="Calibri" w:cs="Calibri"/>
    </w:rPr>
  </w:style>
  <w:style w:type="paragraph" w:styleId="836">
    <w:name w:val="toc 3"/>
    <w:basedOn w:val="666"/>
    <w:unhideWhenUsed/>
    <w:pPr>
      <w:ind w:left="567" w:firstLine="0"/>
      <w:jc w:val="left"/>
      <w:spacing w:after="57"/>
    </w:pPr>
    <w:rPr>
      <w:rFonts w:ascii="Calibri" w:hAnsi="Calibri" w:eastAsia="Calibri" w:cs="Calibri"/>
    </w:rPr>
  </w:style>
  <w:style w:type="paragraph" w:styleId="837">
    <w:name w:val="toc 4"/>
    <w:basedOn w:val="666"/>
    <w:unhideWhenUsed/>
    <w:pPr>
      <w:ind w:left="850" w:firstLine="0"/>
      <w:jc w:val="left"/>
      <w:spacing w:after="57"/>
    </w:pPr>
    <w:rPr>
      <w:rFonts w:ascii="Calibri" w:hAnsi="Calibri" w:eastAsia="Calibri" w:cs="Calibri"/>
    </w:rPr>
  </w:style>
  <w:style w:type="paragraph" w:styleId="838">
    <w:name w:val="toc 5"/>
    <w:basedOn w:val="666"/>
    <w:unhideWhenUsed/>
    <w:pPr>
      <w:ind w:left="1134" w:firstLine="0"/>
      <w:jc w:val="left"/>
      <w:spacing w:after="57"/>
    </w:pPr>
    <w:rPr>
      <w:rFonts w:ascii="Calibri" w:hAnsi="Calibri" w:eastAsia="Calibri" w:cs="Calibri"/>
    </w:rPr>
  </w:style>
  <w:style w:type="paragraph" w:styleId="839">
    <w:name w:val="toc 6"/>
    <w:basedOn w:val="666"/>
    <w:unhideWhenUsed/>
    <w:pPr>
      <w:ind w:left="1417" w:firstLine="0"/>
      <w:jc w:val="left"/>
      <w:spacing w:after="57"/>
    </w:pPr>
    <w:rPr>
      <w:rFonts w:ascii="Calibri" w:hAnsi="Calibri" w:eastAsia="Calibri" w:cs="Calibri"/>
    </w:rPr>
  </w:style>
  <w:style w:type="paragraph" w:styleId="840">
    <w:name w:val="toc 7"/>
    <w:basedOn w:val="666"/>
    <w:unhideWhenUsed/>
    <w:pPr>
      <w:ind w:left="1701" w:firstLine="0"/>
      <w:jc w:val="left"/>
      <w:spacing w:after="57"/>
    </w:pPr>
    <w:rPr>
      <w:rFonts w:ascii="Calibri" w:hAnsi="Calibri" w:eastAsia="Calibri" w:cs="Calibri"/>
    </w:rPr>
  </w:style>
  <w:style w:type="paragraph" w:styleId="841">
    <w:name w:val="toc 8"/>
    <w:basedOn w:val="666"/>
    <w:unhideWhenUsed/>
    <w:pPr>
      <w:ind w:left="1984" w:firstLine="0"/>
      <w:jc w:val="left"/>
      <w:spacing w:after="57"/>
    </w:pPr>
    <w:rPr>
      <w:rFonts w:ascii="Calibri" w:hAnsi="Calibri" w:eastAsia="Calibri" w:cs="Calibri"/>
    </w:rPr>
  </w:style>
  <w:style w:type="paragraph" w:styleId="842">
    <w:name w:val="toc 9"/>
    <w:basedOn w:val="666"/>
    <w:unhideWhenUsed/>
    <w:pPr>
      <w:ind w:left="2268" w:firstLine="0"/>
      <w:jc w:val="left"/>
      <w:spacing w:after="57"/>
    </w:pPr>
    <w:rPr>
      <w:rFonts w:ascii="Calibri" w:hAnsi="Calibri" w:eastAsia="Calibri" w:cs="Calibri"/>
    </w:rPr>
  </w:style>
  <w:style w:type="paragraph" w:styleId="843">
    <w:name w:val="TOC Heading"/>
    <w:unhideWhenUsed/>
    <w:rPr>
      <w:sz w:val="24"/>
    </w:rPr>
  </w:style>
  <w:style w:type="paragraph" w:styleId="844">
    <w:name w:val="table of figures"/>
    <w:basedOn w:val="666"/>
    <w:unhideWhenUsed/>
    <w:pPr>
      <w:jc w:val="left"/>
    </w:pPr>
    <w:rPr>
      <w:rFonts w:ascii="Calibri" w:hAnsi="Calibri" w:eastAsia="Calibri" w:cs="Calibri"/>
    </w:rPr>
  </w:style>
  <w:style w:type="character" w:styleId="845" w:customStyle="1">
    <w:name w:val="Заголовок 1 Знак"/>
    <w:rPr>
      <w:rFonts w:ascii="CalibriLight" w:hAnsi="CalibriLight" w:eastAsia="CalibriLight" w:cs="CalibriLight"/>
      <w:b/>
      <w:sz w:val="32"/>
    </w:rPr>
  </w:style>
  <w:style w:type="character" w:styleId="846" w:customStyle="1">
    <w:name w:val="Цветовое выделение"/>
    <w:rPr>
      <w:rFonts w:ascii="Calibri" w:hAnsi="Calibri" w:eastAsia="Calibri" w:cs="Calibri"/>
      <w:b/>
      <w:color w:val="26282f"/>
      <w:sz w:val="24"/>
    </w:rPr>
  </w:style>
  <w:style w:type="character" w:styleId="847" w:customStyle="1">
    <w:name w:val="Гипертекстовая ссылка"/>
    <w:rPr>
      <w:rFonts w:ascii="Calibri" w:hAnsi="Calibri" w:eastAsia="Calibri" w:cs="Calibri"/>
      <w:b w:val="0"/>
      <w:color w:val="106bbe"/>
      <w:sz w:val="24"/>
    </w:rPr>
  </w:style>
  <w:style w:type="paragraph" w:styleId="848" w:customStyle="1">
    <w:name w:val="Текст (справка)"/>
    <w:basedOn w:val="666"/>
    <w:pPr>
      <w:ind w:left="170"/>
      <w:jc w:val="left"/>
    </w:pPr>
  </w:style>
  <w:style w:type="paragraph" w:styleId="849" w:customStyle="1">
    <w:name w:val="Комментарий"/>
    <w:basedOn w:val="848"/>
    <w:pPr>
      <w:jc w:val="both"/>
      <w:spacing w:before="75"/>
    </w:pPr>
    <w:rPr>
      <w:color w:val="353842"/>
    </w:rPr>
  </w:style>
  <w:style w:type="paragraph" w:styleId="850" w:customStyle="1">
    <w:name w:val="Информация о версии"/>
    <w:basedOn w:val="849"/>
    <w:rPr>
      <w:i/>
    </w:rPr>
  </w:style>
  <w:style w:type="paragraph" w:styleId="851" w:customStyle="1">
    <w:name w:val="Нормальный (таблица)"/>
    <w:basedOn w:val="666"/>
  </w:style>
  <w:style w:type="paragraph" w:styleId="852" w:customStyle="1">
    <w:name w:val="Прижатый влево"/>
    <w:basedOn w:val="666"/>
    <w:pPr>
      <w:jc w:val="left"/>
    </w:pPr>
  </w:style>
  <w:style w:type="character" w:styleId="853" w:customStyle="1">
    <w:name w:val="Цветовое выделение для Текст"/>
    <w:rPr>
      <w:rFonts w:ascii="TimesNewRomanCYR" w:hAnsi="TimesNewRomanCYR" w:eastAsia="TimesNewRomanCYR" w:cs="TimesNewRomanCYR"/>
      <w:sz w:val="24"/>
    </w:rPr>
  </w:style>
  <w:style w:type="paragraph" w:styleId="854">
    <w:name w:val="Header"/>
    <w:basedOn w:val="666"/>
    <w:unhideWhenUsed/>
    <w:pPr>
      <w:tabs>
        <w:tab w:val="center" w:pos="4677" w:leader="none"/>
        <w:tab w:val="right" w:pos="9355" w:leader="none"/>
      </w:tabs>
    </w:pPr>
  </w:style>
  <w:style w:type="character" w:styleId="855" w:customStyle="1">
    <w:name w:val="Верхний колонтитул Знак"/>
    <w:rPr>
      <w:rFonts w:ascii="TimesNewRomanCYR" w:hAnsi="TimesNewRomanCYR" w:eastAsia="TimesNewRomanCYR" w:cs="TimesNewRomanCYR"/>
      <w:sz w:val="24"/>
    </w:rPr>
  </w:style>
  <w:style w:type="paragraph" w:styleId="856">
    <w:name w:val="Footer"/>
    <w:basedOn w:val="666"/>
    <w:unhideWhenUsed/>
    <w:pPr>
      <w:tabs>
        <w:tab w:val="center" w:pos="4677" w:leader="none"/>
        <w:tab w:val="right" w:pos="9355" w:leader="none"/>
      </w:tabs>
    </w:pPr>
  </w:style>
  <w:style w:type="character" w:styleId="857" w:customStyle="1">
    <w:name w:val="Нижний колонтитул Знак"/>
    <w:rPr>
      <w:rFonts w:ascii="TimesNewRomanCYR" w:hAnsi="TimesNewRomanCYR" w:eastAsia="TimesNewRomanCYR" w:cs="TimesNewRomanCYR"/>
      <w:sz w:val="24"/>
    </w:rPr>
  </w:style>
  <w:style w:type="table" w:styleId="858">
    <w:name w:val="Table Grid"/>
    <w:basedOn w:val="677"/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</w:tblPr>
  </w:style>
  <w:style w:type="paragraph" w:styleId="859">
    <w:name w:val="Balloon Text"/>
    <w:basedOn w:val="666"/>
    <w:semiHidden/>
    <w:unhideWhenUsed/>
    <w:rPr>
      <w:rFonts w:ascii="SegoeUI" w:hAnsi="SegoeUI" w:eastAsia="SegoeUI" w:cs="SegoeUI"/>
      <w:sz w:val="18"/>
    </w:rPr>
  </w:style>
  <w:style w:type="character" w:styleId="860" w:customStyle="1">
    <w:name w:val="Текст выноски Знак"/>
    <w:semiHidden/>
    <w:rPr>
      <w:rFonts w:ascii="SegoeUI" w:hAnsi="SegoeUI" w:eastAsia="SegoeUI" w:cs="SegoeUI"/>
      <w:sz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hyperlink" Target="http://garant.belregion.ru/document/redirect/179222/0" TargetMode="External"/><Relationship Id="rId11" Type="http://schemas.openxmlformats.org/officeDocument/2006/relationships/hyperlink" Target="http://garant.belregion.ru/document/redirect/12191967/151" TargetMode="External"/><Relationship Id="rId12" Type="http://schemas.openxmlformats.org/officeDocument/2006/relationships/hyperlink" Target="http://garant.belregion.ru/document/redirect/12191967/151" TargetMode="External"/><Relationship Id="rId13" Type="http://schemas.openxmlformats.org/officeDocument/2006/relationships/hyperlink" Target="http://garant.belregion.ru/document/redirect/12191967/151" TargetMode="External"/><Relationship Id="rId14" Type="http://schemas.openxmlformats.org/officeDocument/2006/relationships/hyperlink" Target="http://garant.belregion.ru/document/redirect/12191967/151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cp:lastModifiedBy>morozova_mi</cp:lastModifiedBy>
  <cp:revision>8</cp:revision>
  <dcterms:created xsi:type="dcterms:W3CDTF">2026-04-07T13:02:00Z</dcterms:created>
  <dcterms:modified xsi:type="dcterms:W3CDTF">2026-05-10T11:24:32Z</dcterms:modified>
</cp:coreProperties>
</file>